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3"/>
        <w:tabs>
          <w:tab w:val="right" w:pos="9639"/>
        </w:tabs>
        <w:spacing w:after="0"/>
        <w:rPr>
          <w:rFonts w:hint="default" w:eastAsia="宋体"/>
          <w:b/>
          <w:i/>
          <w:sz w:val="28"/>
          <w:lang w:val="en-US" w:eastAsia="zh-CN"/>
        </w:rPr>
      </w:pPr>
      <w:bookmarkStart w:id="0" w:name="OLE_LINK11"/>
      <w:bookmarkStart w:id="1" w:name="OLE_LINK10"/>
      <w:r>
        <w:rPr>
          <w:b/>
          <w:sz w:val="24"/>
        </w:rPr>
        <w:t>3GPP TSG-RAN WG2 Meeting #10</w:t>
      </w:r>
      <w:r>
        <w:rPr>
          <w:rFonts w:hint="eastAsia" w:eastAsia="宋体"/>
          <w:b/>
          <w:sz w:val="24"/>
          <w:lang w:val="en-US" w:eastAsia="zh-CN"/>
        </w:rPr>
        <w:t>8</w:t>
      </w:r>
      <w:r>
        <w:rPr>
          <w:b/>
          <w:i/>
          <w:sz w:val="28"/>
        </w:rPr>
        <w:tab/>
      </w:r>
      <w:r>
        <w:rPr>
          <w:b/>
          <w:i/>
          <w:sz w:val="28"/>
        </w:rPr>
        <w:t>R2-191</w:t>
      </w:r>
      <w:r>
        <w:rPr>
          <w:rFonts w:hint="eastAsia" w:eastAsia="宋体"/>
          <w:b/>
          <w:i/>
          <w:sz w:val="28"/>
          <w:lang w:val="en-US" w:eastAsia="zh-CN"/>
        </w:rPr>
        <w:t>4549</w:t>
      </w:r>
    </w:p>
    <w:p>
      <w:pPr>
        <w:pStyle w:val="103"/>
        <w:outlineLvl w:val="0"/>
        <w:rPr>
          <w:b/>
          <w:sz w:val="24"/>
        </w:rPr>
      </w:pPr>
      <w:r>
        <w:rPr>
          <w:rFonts w:hint="eastAsia" w:eastAsia="宋体"/>
          <w:b/>
          <w:sz w:val="24"/>
          <w:lang w:val="en-US" w:eastAsia="zh-CN"/>
        </w:rPr>
        <w:t>Reno</w:t>
      </w:r>
      <w:r>
        <w:rPr>
          <w:b/>
          <w:sz w:val="24"/>
        </w:rPr>
        <w:t>,</w:t>
      </w:r>
      <w:r>
        <w:rPr>
          <w:rFonts w:hint="eastAsia" w:eastAsia="宋体"/>
          <w:b/>
          <w:sz w:val="24"/>
          <w:lang w:val="en-US" w:eastAsia="zh-CN"/>
        </w:rPr>
        <w:t xml:space="preserve"> Nevada,</w:t>
      </w:r>
      <w:r>
        <w:rPr>
          <w:b/>
          <w:sz w:val="24"/>
        </w:rPr>
        <w:t xml:space="preserve"> </w:t>
      </w:r>
      <w:r>
        <w:rPr>
          <w:rFonts w:hint="eastAsia" w:eastAsia="宋体"/>
          <w:b/>
          <w:sz w:val="24"/>
          <w:lang w:val="en-US" w:eastAsia="zh-CN"/>
        </w:rPr>
        <w:t>USA</w:t>
      </w:r>
      <w:r>
        <w:rPr>
          <w:b/>
          <w:sz w:val="24"/>
        </w:rPr>
        <w:t xml:space="preserve">, </w:t>
      </w:r>
      <w:r>
        <w:rPr>
          <w:rFonts w:hint="eastAsia" w:eastAsia="宋体"/>
          <w:b/>
          <w:sz w:val="24"/>
          <w:lang w:val="en-US" w:eastAsia="zh-CN"/>
        </w:rPr>
        <w:t>18</w:t>
      </w:r>
      <w:r>
        <w:rPr>
          <w:b/>
          <w:sz w:val="24"/>
          <w:vertAlign w:val="superscript"/>
        </w:rPr>
        <w:t>th</w:t>
      </w:r>
      <w:r>
        <w:rPr>
          <w:b/>
          <w:sz w:val="24"/>
        </w:rPr>
        <w:t xml:space="preserve"> – </w:t>
      </w:r>
      <w:r>
        <w:rPr>
          <w:rFonts w:hint="eastAsia" w:eastAsia="宋体"/>
          <w:b/>
          <w:sz w:val="24"/>
          <w:lang w:val="en-US" w:eastAsia="zh-CN"/>
        </w:rPr>
        <w:t>22</w:t>
      </w:r>
      <w:r>
        <w:rPr>
          <w:rFonts w:hint="eastAsia" w:eastAsia="宋体"/>
          <w:b/>
          <w:sz w:val="24"/>
          <w:vertAlign w:val="superscript"/>
          <w:lang w:val="en-US" w:eastAsia="zh-CN"/>
        </w:rPr>
        <w:t>nd</w:t>
      </w:r>
      <w:r>
        <w:rPr>
          <w:rFonts w:hint="eastAsia" w:eastAsia="宋体"/>
          <w:b/>
          <w:sz w:val="24"/>
          <w:lang w:val="en-US" w:eastAsia="zh-CN"/>
        </w:rPr>
        <w:t xml:space="preserve"> Nov</w:t>
      </w:r>
      <w:r>
        <w:rPr>
          <w:b/>
          <w:sz w:val="24"/>
        </w:rPr>
        <w:t xml:space="preserve"> 2019</w:t>
      </w:r>
    </w:p>
    <w:bookmarkEnd w:id="0"/>
    <w:bookmarkEnd w:id="1"/>
    <w:p>
      <w:pPr>
        <w:tabs>
          <w:tab w:val="left" w:pos="1701"/>
          <w:tab w:val="right" w:pos="9639"/>
        </w:tabs>
        <w:spacing w:after="0"/>
        <w:rPr>
          <w:rFonts w:cs="Arial"/>
          <w:b/>
          <w:color w:val="000000"/>
          <w:kern w:val="2"/>
          <w:sz w:val="24"/>
        </w:rPr>
      </w:pPr>
    </w:p>
    <w:p>
      <w:pPr>
        <w:pStyle w:val="72"/>
        <w:rPr>
          <w:rFonts w:hint="eastAsia" w:eastAsia="宋体"/>
          <w:sz w:val="22"/>
          <w:szCs w:val="22"/>
          <w:lang w:val="en-US" w:eastAsia="zh-CN"/>
        </w:rPr>
      </w:pPr>
      <w:r>
        <w:rPr>
          <w:sz w:val="22"/>
          <w:szCs w:val="22"/>
        </w:rPr>
        <w:t>Agenda Item:</w:t>
      </w:r>
      <w:r>
        <w:rPr>
          <w:sz w:val="22"/>
          <w:szCs w:val="22"/>
        </w:rPr>
        <w:tab/>
      </w:r>
      <w:r>
        <w:rPr>
          <w:rFonts w:hint="eastAsia" w:eastAsia="宋体"/>
          <w:sz w:val="22"/>
          <w:szCs w:val="22"/>
          <w:lang w:val="en-US" w:eastAsia="zh-CN"/>
        </w:rPr>
        <w:t>6</w:t>
      </w:r>
      <w:r>
        <w:rPr>
          <w:sz w:val="22"/>
          <w:szCs w:val="22"/>
        </w:rPr>
        <w:t>.4.</w:t>
      </w:r>
      <w:r>
        <w:rPr>
          <w:rFonts w:hint="eastAsia" w:eastAsia="宋体"/>
          <w:sz w:val="22"/>
          <w:szCs w:val="22"/>
          <w:lang w:val="en-US" w:eastAsia="zh-CN"/>
        </w:rPr>
        <w:t>1</w:t>
      </w:r>
      <w:bookmarkStart w:id="8" w:name="_GoBack"/>
      <w:bookmarkEnd w:id="8"/>
    </w:p>
    <w:p>
      <w:pPr>
        <w:pStyle w:val="72"/>
        <w:rPr>
          <w:rFonts w:hint="default" w:eastAsia="Malgun Gothic"/>
          <w:sz w:val="22"/>
          <w:szCs w:val="22"/>
          <w:lang w:val="en-US" w:eastAsia="zh-CN"/>
        </w:rPr>
      </w:pPr>
      <w:r>
        <w:rPr>
          <w:sz w:val="22"/>
          <w:szCs w:val="22"/>
        </w:rPr>
        <w:t>Source:</w:t>
      </w:r>
      <w:r>
        <w:rPr>
          <w:sz w:val="22"/>
          <w:szCs w:val="22"/>
        </w:rPr>
        <w:tab/>
      </w:r>
      <w:r>
        <w:rPr>
          <w:rFonts w:hint="eastAsia"/>
          <w:sz w:val="22"/>
          <w:szCs w:val="22"/>
          <w:lang w:val="en-US" w:eastAsia="zh-CN"/>
        </w:rPr>
        <w:t>ZTE, Sanechips</w:t>
      </w:r>
    </w:p>
    <w:p>
      <w:pPr>
        <w:pStyle w:val="72"/>
        <w:rPr>
          <w:sz w:val="22"/>
          <w:szCs w:val="22"/>
        </w:rPr>
      </w:pPr>
      <w:r>
        <w:rPr>
          <w:sz w:val="22"/>
          <w:szCs w:val="22"/>
        </w:rPr>
        <w:t>Title:</w:t>
      </w:r>
      <w:r>
        <w:rPr>
          <w:sz w:val="22"/>
          <w:szCs w:val="22"/>
        </w:rPr>
        <w:tab/>
      </w:r>
      <w:r>
        <w:rPr>
          <w:rFonts w:hint="eastAsia"/>
          <w:sz w:val="22"/>
          <w:szCs w:val="22"/>
          <w:lang w:val="en-US" w:eastAsia="zh-CN"/>
        </w:rPr>
        <w:t>Discussion the missing of UE coverage status description in specification</w:t>
      </w:r>
    </w:p>
    <w:p>
      <w:pPr>
        <w:pStyle w:val="72"/>
      </w:pPr>
      <w:r>
        <w:rPr>
          <w:sz w:val="22"/>
          <w:szCs w:val="22"/>
        </w:rPr>
        <w:t>Document for:</w:t>
      </w:r>
      <w:r>
        <w:rPr>
          <w:sz w:val="22"/>
          <w:szCs w:val="22"/>
        </w:rPr>
        <w:tab/>
      </w:r>
      <w:r>
        <w:rPr>
          <w:sz w:val="22"/>
          <w:szCs w:val="22"/>
        </w:rPr>
        <w:t>Discussion, Decision</w:t>
      </w:r>
    </w:p>
    <w:p>
      <w:pPr>
        <w:pStyle w:val="2"/>
        <w:numPr>
          <w:ilvl w:val="0"/>
          <w:numId w:val="10"/>
        </w:numPr>
        <w:tabs>
          <w:tab w:val="left" w:pos="200"/>
          <w:tab w:val="clear" w:pos="432"/>
        </w:tabs>
        <w:spacing w:before="20" w:line="288" w:lineRule="auto"/>
        <w:ind w:left="425" w:hanging="425"/>
        <w:rPr>
          <w:rFonts w:ascii="Times New Roman" w:hAnsi="Times New Roman"/>
          <w:b/>
          <w:bCs/>
          <w:sz w:val="28"/>
          <w:szCs w:val="28"/>
        </w:rPr>
      </w:pPr>
      <w:bookmarkStart w:id="2" w:name="_Ref488331639"/>
      <w:r>
        <w:rPr>
          <w:rFonts w:ascii="Times New Roman" w:hAnsi="Times New Roman"/>
          <w:b/>
          <w:bCs/>
          <w:sz w:val="28"/>
          <w:szCs w:val="28"/>
        </w:rPr>
        <w:t>Introduction</w:t>
      </w:r>
      <w:bookmarkEnd w:id="2"/>
    </w:p>
    <w:p>
      <w:pPr>
        <w:spacing w:before="20" w:after="180" w:line="288" w:lineRule="auto"/>
        <w:rPr>
          <w:rFonts w:hint="default" w:ascii="Times New Roman" w:hAnsi="Times New Roman" w:eastAsia="宋体"/>
          <w:sz w:val="21"/>
          <w:szCs w:val="21"/>
          <w:lang w:val="en-US" w:eastAsia="zh-CN"/>
        </w:rPr>
      </w:pPr>
      <w:r>
        <w:rPr>
          <w:rFonts w:hint="default" w:ascii="Times New Roman" w:hAnsi="Times New Roman" w:eastAsia="宋体"/>
          <w:sz w:val="21"/>
          <w:szCs w:val="21"/>
          <w:lang w:val="en-US" w:eastAsia="zh-CN"/>
        </w:rPr>
        <w:t>In the current stage, the running CR for both TS 38.304 and TS 36.304 are under discussion. But relevant description for NR V2X UE coverage status are still missing since there is no associated discussion or agreement. On the other hand, the compilation of other specifications,e.g. TS 36.331 and TS 38.331 will refer to the coverage status section in TS 38.304 and TS 36.304. Therefore, it is urgent to capture description relevant to NR V2X UE coverage status as soon as possible. As a consequence, in this contribution, we will address this issue and propose the corresponding CRs which shall be captured  into the respective specification.</w:t>
      </w:r>
    </w:p>
    <w:p>
      <w:pPr>
        <w:pStyle w:val="2"/>
        <w:numPr>
          <w:ilvl w:val="0"/>
          <w:numId w:val="10"/>
        </w:numPr>
        <w:tabs>
          <w:tab w:val="left" w:pos="200"/>
          <w:tab w:val="clear" w:pos="432"/>
        </w:tabs>
        <w:spacing w:before="20" w:line="288" w:lineRule="auto"/>
        <w:ind w:left="425" w:hanging="425" w:firstLineChars="0"/>
        <w:rPr>
          <w:rFonts w:ascii="Times New Roman" w:hAnsi="Times New Roman" w:cs="Times New Roman"/>
          <w:b/>
          <w:bCs/>
          <w:sz w:val="28"/>
          <w:szCs w:val="28"/>
        </w:rPr>
      </w:pPr>
      <w:bookmarkStart w:id="3" w:name="_Ref178064866"/>
      <w:r>
        <w:rPr>
          <w:rFonts w:ascii="Times New Roman" w:hAnsi="Times New Roman" w:cs="Times New Roman"/>
          <w:b/>
          <w:bCs/>
          <w:sz w:val="28"/>
          <w:szCs w:val="28"/>
        </w:rPr>
        <w:t>Discussion</w:t>
      </w:r>
      <w:bookmarkEnd w:id="3"/>
    </w:p>
    <w:p>
      <w:pPr>
        <w:spacing w:before="20" w:after="180" w:line="288" w:lineRule="auto"/>
        <w:rPr>
          <w:rFonts w:hint="default" w:ascii="Times New Roman" w:hAnsi="Times New Roman" w:eastAsia="宋体"/>
          <w:sz w:val="21"/>
          <w:szCs w:val="21"/>
          <w:lang w:val="en-US" w:eastAsia="zh-CN"/>
        </w:rPr>
      </w:pPr>
      <w:r>
        <w:rPr>
          <w:rFonts w:hint="default" w:ascii="Times New Roman" w:hAnsi="Times New Roman" w:eastAsia="宋体"/>
          <w:sz w:val="21"/>
          <w:szCs w:val="21"/>
          <w:lang w:val="en-US" w:eastAsia="zh-CN"/>
        </w:rPr>
        <w:t>According to the description in current TS 36.304</w:t>
      </w:r>
    </w:p>
    <w:tbl>
      <w:tblPr>
        <w:tblStyle w:val="45"/>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keepNext w:val="0"/>
              <w:keepLines w:val="0"/>
              <w:widowControl/>
              <w:suppressLineNumbers w:val="0"/>
              <w:spacing w:before="20" w:beforeAutospacing="0" w:after="180" w:afterAutospacing="0" w:line="288" w:lineRule="auto"/>
              <w:ind w:left="0" w:right="0"/>
              <w:rPr>
                <w:rFonts w:hint="default" w:ascii="Times New Roman" w:hAnsi="Times New Roman" w:eastAsia="宋体"/>
                <w:sz w:val="21"/>
                <w:szCs w:val="21"/>
                <w:lang w:val="en-US" w:eastAsia="zh-CN"/>
              </w:rPr>
            </w:pPr>
            <w:r>
              <w:rPr>
                <w:rFonts w:hint="default" w:ascii="Times New Roman" w:hAnsi="Times New Roman" w:eastAsia="宋体"/>
                <w:sz w:val="21"/>
                <w:szCs w:val="21"/>
                <w:lang w:val="en-US" w:eastAsia="zh-CN"/>
              </w:rPr>
              <w:t>TS 36.304 11.4</w:t>
            </w:r>
          </w:p>
          <w:p>
            <w:pPr>
              <w:keepNext w:val="0"/>
              <w:keepLines w:val="0"/>
              <w:widowControl/>
              <w:suppressLineNumbers w:val="0"/>
              <w:spacing w:before="20" w:beforeAutospacing="0" w:after="180" w:afterAutospacing="0" w:line="288" w:lineRule="auto"/>
              <w:ind w:left="0" w:right="0"/>
              <w:rPr>
                <w:rFonts w:hint="default" w:ascii="Times New Roman" w:hAnsi="Times New Roman"/>
                <w:sz w:val="21"/>
                <w:szCs w:val="21"/>
                <w:lang w:eastAsia="ko-KR"/>
              </w:rPr>
            </w:pPr>
            <w:r>
              <w:rPr>
                <w:rFonts w:hint="default" w:ascii="Times New Roman" w:hAnsi="Times New Roman"/>
                <w:sz w:val="21"/>
                <w:szCs w:val="21"/>
              </w:rPr>
              <w:t xml:space="preserve">If the UE </w:t>
            </w:r>
            <w:r>
              <w:rPr>
                <w:rFonts w:hint="default" w:ascii="Times New Roman" w:hAnsi="Times New Roman"/>
                <w:sz w:val="21"/>
                <w:szCs w:val="21"/>
                <w:lang w:eastAsia="ko-KR"/>
              </w:rPr>
              <w:t xml:space="preserve">detects </w:t>
            </w:r>
            <w:r>
              <w:rPr>
                <w:rFonts w:hint="default" w:ascii="Times New Roman" w:hAnsi="Times New Roman"/>
                <w:sz w:val="21"/>
                <w:szCs w:val="21"/>
              </w:rPr>
              <w:t>a</w:t>
            </w:r>
            <w:r>
              <w:rPr>
                <w:rFonts w:hint="default" w:ascii="Times New Roman" w:hAnsi="Times New Roman"/>
                <w:sz w:val="21"/>
                <w:szCs w:val="21"/>
                <w:lang w:eastAsia="ko-KR"/>
              </w:rPr>
              <w:t>t least one</w:t>
            </w:r>
            <w:r>
              <w:rPr>
                <w:rFonts w:hint="default" w:ascii="Times New Roman" w:hAnsi="Times New Roman"/>
                <w:sz w:val="21"/>
                <w:szCs w:val="21"/>
              </w:rPr>
              <w:t xml:space="preserve"> cell on the </w:t>
            </w:r>
            <w:r>
              <w:rPr>
                <w:rFonts w:hint="default" w:ascii="Times New Roman" w:hAnsi="Times New Roman"/>
                <w:sz w:val="21"/>
                <w:szCs w:val="21"/>
                <w:lang w:eastAsia="ko-KR"/>
              </w:rPr>
              <w:t>frequency which UE is configured to perform sidelink operation on fulfilling</w:t>
            </w:r>
            <w:r>
              <w:rPr>
                <w:rFonts w:hint="default" w:ascii="Times New Roman" w:hAnsi="Times New Roman"/>
                <w:sz w:val="21"/>
                <w:szCs w:val="21"/>
              </w:rPr>
              <w:t xml:space="preserve"> the S</w:t>
            </w:r>
            <w:r>
              <w:rPr>
                <w:rFonts w:hint="default" w:ascii="Times New Roman" w:hAnsi="Times New Roman"/>
                <w:sz w:val="21"/>
                <w:szCs w:val="21"/>
                <w:lang w:eastAsia="ko-KR"/>
              </w:rPr>
              <w:t xml:space="preserve"> </w:t>
            </w:r>
            <w:r>
              <w:rPr>
                <w:rFonts w:hint="default" w:ascii="Times New Roman" w:hAnsi="Times New Roman"/>
                <w:sz w:val="21"/>
                <w:szCs w:val="21"/>
              </w:rPr>
              <w:t>criteri</w:t>
            </w:r>
            <w:r>
              <w:rPr>
                <w:rFonts w:hint="default" w:ascii="Times New Roman" w:hAnsi="Times New Roman"/>
                <w:sz w:val="21"/>
                <w:szCs w:val="21"/>
                <w:lang w:eastAsia="ko-KR"/>
              </w:rPr>
              <w:t>on</w:t>
            </w:r>
            <w:r>
              <w:rPr>
                <w:rFonts w:hint="default" w:ascii="Times New Roman" w:hAnsi="Times New Roman"/>
                <w:sz w:val="21"/>
                <w:szCs w:val="21"/>
              </w:rPr>
              <w:t xml:space="preserve"> in accordance with clause 11.4.1, it shall consider itself to be </w:t>
            </w:r>
            <w:r>
              <w:rPr>
                <w:rFonts w:hint="default" w:ascii="Times New Roman" w:hAnsi="Times New Roman"/>
                <w:sz w:val="21"/>
                <w:szCs w:val="21"/>
                <w:lang w:eastAsia="ko-KR"/>
              </w:rPr>
              <w:t xml:space="preserve">in-coverage for </w:t>
            </w:r>
            <w:r>
              <w:rPr>
                <w:rFonts w:hint="default" w:ascii="Times New Roman" w:hAnsi="Times New Roman" w:eastAsia="Malgun Gothic"/>
                <w:sz w:val="21"/>
                <w:szCs w:val="21"/>
                <w:lang w:eastAsia="ko-KR"/>
              </w:rPr>
              <w:t>sidelink</w:t>
            </w:r>
            <w:r>
              <w:rPr>
                <w:rFonts w:hint="default" w:ascii="Times New Roman" w:hAnsi="Times New Roman"/>
                <w:sz w:val="21"/>
                <w:szCs w:val="21"/>
                <w:lang w:eastAsia="ko-KR"/>
              </w:rPr>
              <w:t xml:space="preserve"> </w:t>
            </w:r>
            <w:r>
              <w:rPr>
                <w:rFonts w:hint="default" w:ascii="Times New Roman" w:hAnsi="Times New Roman" w:eastAsia="Malgun Gothic"/>
                <w:sz w:val="21"/>
                <w:szCs w:val="21"/>
                <w:lang w:eastAsia="ko-KR"/>
              </w:rPr>
              <w:t xml:space="preserve">operation </w:t>
            </w:r>
            <w:r>
              <w:rPr>
                <w:rFonts w:hint="default" w:ascii="Times New Roman" w:hAnsi="Times New Roman"/>
                <w:sz w:val="21"/>
                <w:szCs w:val="21"/>
                <w:lang w:eastAsia="ko-KR"/>
              </w:rPr>
              <w:t>on that frequency</w:t>
            </w:r>
            <w:r>
              <w:rPr>
                <w:rFonts w:hint="default" w:ascii="Times New Roman" w:hAnsi="Times New Roman"/>
                <w:sz w:val="21"/>
                <w:szCs w:val="21"/>
              </w:rPr>
              <w:t xml:space="preserve">. If the UE </w:t>
            </w:r>
            <w:r>
              <w:rPr>
                <w:rFonts w:hint="default" w:ascii="Times New Roman" w:hAnsi="Times New Roman"/>
                <w:sz w:val="21"/>
                <w:szCs w:val="21"/>
                <w:lang w:eastAsia="ko-KR"/>
              </w:rPr>
              <w:t xml:space="preserve">cannot detect any </w:t>
            </w:r>
            <w:r>
              <w:rPr>
                <w:rFonts w:hint="default" w:ascii="Times New Roman" w:hAnsi="Times New Roman"/>
                <w:sz w:val="21"/>
                <w:szCs w:val="21"/>
              </w:rPr>
              <w:t xml:space="preserve">cell on </w:t>
            </w:r>
            <w:r>
              <w:rPr>
                <w:rFonts w:hint="default" w:ascii="Times New Roman" w:hAnsi="Times New Roman"/>
                <w:sz w:val="21"/>
                <w:szCs w:val="21"/>
                <w:lang w:eastAsia="ko-KR"/>
              </w:rPr>
              <w:t xml:space="preserve">that frequency </w:t>
            </w:r>
            <w:r>
              <w:rPr>
                <w:rFonts w:hint="default" w:ascii="Times New Roman" w:hAnsi="Times New Roman"/>
                <w:sz w:val="21"/>
                <w:szCs w:val="21"/>
              </w:rPr>
              <w:t xml:space="preserve">meeting </w:t>
            </w:r>
            <w:r>
              <w:rPr>
                <w:rFonts w:hint="default" w:ascii="Times New Roman" w:hAnsi="Times New Roman"/>
                <w:sz w:val="21"/>
                <w:szCs w:val="21"/>
                <w:lang w:eastAsia="ko-KR"/>
              </w:rPr>
              <w:t xml:space="preserve">the </w:t>
            </w:r>
            <w:r>
              <w:rPr>
                <w:rFonts w:hint="default" w:ascii="Times New Roman" w:hAnsi="Times New Roman"/>
                <w:sz w:val="21"/>
                <w:szCs w:val="21"/>
              </w:rPr>
              <w:t>S</w:t>
            </w:r>
            <w:r>
              <w:rPr>
                <w:rFonts w:hint="default" w:ascii="Times New Roman" w:hAnsi="Times New Roman"/>
                <w:sz w:val="21"/>
                <w:szCs w:val="21"/>
                <w:lang w:eastAsia="ko-KR"/>
              </w:rPr>
              <w:t xml:space="preserve"> </w:t>
            </w:r>
            <w:r>
              <w:rPr>
                <w:rFonts w:hint="default" w:ascii="Times New Roman" w:hAnsi="Times New Roman"/>
                <w:sz w:val="21"/>
                <w:szCs w:val="21"/>
              </w:rPr>
              <w:t>criteri</w:t>
            </w:r>
            <w:r>
              <w:rPr>
                <w:rFonts w:hint="default" w:ascii="Times New Roman" w:hAnsi="Times New Roman"/>
                <w:sz w:val="21"/>
                <w:szCs w:val="21"/>
                <w:lang w:eastAsia="ko-KR"/>
              </w:rPr>
              <w:t>on</w:t>
            </w:r>
            <w:r>
              <w:rPr>
                <w:rFonts w:hint="default" w:ascii="Times New Roman" w:hAnsi="Times New Roman"/>
                <w:sz w:val="21"/>
                <w:szCs w:val="21"/>
              </w:rPr>
              <w:t xml:space="preserve">, it shall consider itself to be </w:t>
            </w:r>
            <w:r>
              <w:rPr>
                <w:rFonts w:hint="default" w:ascii="Times New Roman" w:hAnsi="Times New Roman"/>
                <w:sz w:val="21"/>
                <w:szCs w:val="21"/>
                <w:lang w:eastAsia="ko-KR"/>
              </w:rPr>
              <w:t xml:space="preserve">out-of-coverage for </w:t>
            </w:r>
            <w:r>
              <w:rPr>
                <w:rFonts w:hint="default" w:ascii="Times New Roman" w:hAnsi="Times New Roman" w:eastAsia="Malgun Gothic"/>
                <w:sz w:val="21"/>
                <w:szCs w:val="21"/>
                <w:lang w:eastAsia="ko-KR"/>
              </w:rPr>
              <w:t>sidelink</w:t>
            </w:r>
            <w:r>
              <w:rPr>
                <w:rFonts w:hint="default" w:ascii="Times New Roman" w:hAnsi="Times New Roman"/>
                <w:sz w:val="21"/>
                <w:szCs w:val="21"/>
                <w:lang w:eastAsia="ko-KR"/>
              </w:rPr>
              <w:t xml:space="preserve"> </w:t>
            </w:r>
            <w:r>
              <w:rPr>
                <w:rFonts w:hint="default" w:ascii="Times New Roman" w:hAnsi="Times New Roman" w:eastAsia="Malgun Gothic"/>
                <w:sz w:val="21"/>
                <w:szCs w:val="21"/>
                <w:lang w:eastAsia="ko-KR"/>
              </w:rPr>
              <w:t>operation</w:t>
            </w:r>
            <w:r>
              <w:rPr>
                <w:rFonts w:hint="default" w:ascii="Times New Roman" w:hAnsi="Times New Roman"/>
                <w:sz w:val="21"/>
                <w:szCs w:val="21"/>
                <w:lang w:eastAsia="ko-KR"/>
              </w:rPr>
              <w:t xml:space="preserve"> on that frequency.</w:t>
            </w:r>
          </w:p>
          <w:p>
            <w:pPr>
              <w:keepNext w:val="0"/>
              <w:keepLines w:val="0"/>
              <w:widowControl/>
              <w:suppressLineNumbers w:val="0"/>
              <w:spacing w:before="20" w:beforeAutospacing="0" w:after="180" w:afterAutospacing="0" w:line="288" w:lineRule="auto"/>
              <w:ind w:left="0" w:right="0"/>
              <w:rPr>
                <w:rFonts w:hint="default" w:ascii="Times New Roman" w:hAnsi="Times New Roman"/>
                <w:sz w:val="21"/>
                <w:szCs w:val="21"/>
                <w:lang w:val="en-US" w:eastAsia="zh-CN"/>
              </w:rPr>
            </w:pPr>
            <w:r>
              <w:rPr>
                <w:rFonts w:hint="default" w:ascii="Times New Roman" w:hAnsi="Times New Roman"/>
                <w:sz w:val="21"/>
                <w:szCs w:val="21"/>
                <w:lang w:eastAsia="ko-KR"/>
              </w:rPr>
              <w:t>If the UE has selected a cell on a non-serving frequency for sidelink communication or V2X sidelink communication</w:t>
            </w:r>
            <w:r>
              <w:rPr>
                <w:rFonts w:hint="default" w:ascii="Times New Roman" w:hAnsi="Times New Roman"/>
                <w:sz w:val="21"/>
                <w:szCs w:val="21"/>
                <w:lang w:eastAsia="zh-CN"/>
              </w:rPr>
              <w:t xml:space="preserve"> </w:t>
            </w:r>
            <w:r>
              <w:rPr>
                <w:rFonts w:hint="default" w:ascii="Times New Roman" w:hAnsi="Times New Roman"/>
                <w:sz w:val="21"/>
                <w:szCs w:val="21"/>
                <w:lang w:eastAsia="ko-KR"/>
              </w:rPr>
              <w:t xml:space="preserve">or sidelink discovery announcement, it </w:t>
            </w:r>
            <w:r>
              <w:rPr>
                <w:rFonts w:hint="default" w:ascii="Times New Roman" w:hAnsi="Times New Roman"/>
                <w:sz w:val="21"/>
                <w:szCs w:val="21"/>
              </w:rPr>
              <w:t xml:space="preserve">shall </w:t>
            </w:r>
            <w:r>
              <w:rPr>
                <w:rFonts w:hint="default" w:ascii="Times New Roman" w:hAnsi="Times New Roman"/>
                <w:sz w:val="21"/>
                <w:szCs w:val="21"/>
                <w:lang w:eastAsia="ko-KR"/>
              </w:rPr>
              <w:t>perform additional intra-frequency reselection process</w:t>
            </w:r>
            <w:r>
              <w:rPr>
                <w:rFonts w:hint="default" w:ascii="Times New Roman" w:hAnsi="Times New Roman"/>
                <w:sz w:val="21"/>
                <w:szCs w:val="21"/>
              </w:rPr>
              <w:t xml:space="preserve"> to select </w:t>
            </w:r>
            <w:r>
              <w:rPr>
                <w:rFonts w:hint="default" w:ascii="Times New Roman" w:hAnsi="Times New Roman"/>
                <w:sz w:val="21"/>
                <w:szCs w:val="21"/>
                <w:lang w:eastAsia="ko-KR"/>
              </w:rPr>
              <w:t xml:space="preserve">a better cell for </w:t>
            </w:r>
            <w:r>
              <w:rPr>
                <w:rFonts w:hint="default" w:ascii="Times New Roman" w:hAnsi="Times New Roman" w:eastAsia="Malgun Gothic"/>
                <w:sz w:val="21"/>
                <w:szCs w:val="21"/>
                <w:lang w:eastAsia="ko-KR"/>
              </w:rPr>
              <w:t>sidelink</w:t>
            </w:r>
            <w:r>
              <w:rPr>
                <w:rFonts w:hint="default" w:ascii="Times New Roman" w:hAnsi="Times New Roman"/>
                <w:sz w:val="21"/>
                <w:szCs w:val="21"/>
                <w:lang w:eastAsia="ko-KR"/>
              </w:rPr>
              <w:t xml:space="preserve"> operation on that frequency in accordance with clause 11.4.1.</w:t>
            </w:r>
          </w:p>
        </w:tc>
      </w:tr>
    </w:tbl>
    <w:p>
      <w:pPr>
        <w:spacing w:before="20" w:after="180" w:line="288" w:lineRule="auto"/>
        <w:rPr>
          <w:rFonts w:hint="default" w:ascii="Times New Roman" w:hAnsi="Times New Roman"/>
          <w:sz w:val="21"/>
          <w:szCs w:val="21"/>
          <w:lang w:val="en-US" w:eastAsia="zh-CN"/>
        </w:rPr>
      </w:pPr>
    </w:p>
    <w:p>
      <w:pPr>
        <w:spacing w:before="20" w:after="180" w:line="288" w:lineRule="auto"/>
        <w:rPr>
          <w:rFonts w:ascii="Times New Roman" w:hAnsi="Times New Roman"/>
          <w:sz w:val="21"/>
          <w:szCs w:val="21"/>
          <w:lang w:eastAsia="ko-KR"/>
        </w:rPr>
      </w:pPr>
      <w:r>
        <w:rPr>
          <w:rFonts w:hint="default" w:ascii="Times New Roman" w:hAnsi="Times New Roman"/>
          <w:sz w:val="21"/>
          <w:szCs w:val="21"/>
          <w:lang w:val="en-US" w:eastAsia="zh-CN"/>
        </w:rPr>
        <w:t xml:space="preserve">In LTE V2X, </w:t>
      </w:r>
      <w:r>
        <w:rPr>
          <w:rFonts w:hint="default" w:ascii="Times New Roman" w:hAnsi="Times New Roman" w:eastAsia="宋体"/>
          <w:sz w:val="21"/>
          <w:szCs w:val="21"/>
          <w:lang w:val="en-US" w:eastAsia="zh-CN"/>
        </w:rPr>
        <w:t>i</w:t>
      </w:r>
      <w:r>
        <w:rPr>
          <w:rFonts w:ascii="Times New Roman" w:hAnsi="Times New Roman"/>
          <w:sz w:val="21"/>
          <w:szCs w:val="21"/>
        </w:rPr>
        <w:t xml:space="preserve">f the UE </w:t>
      </w:r>
      <w:r>
        <w:rPr>
          <w:rFonts w:ascii="Times New Roman" w:hAnsi="Times New Roman"/>
          <w:sz w:val="21"/>
          <w:szCs w:val="21"/>
          <w:lang w:eastAsia="ko-KR"/>
        </w:rPr>
        <w:t xml:space="preserve">detects </w:t>
      </w:r>
      <w:r>
        <w:rPr>
          <w:rFonts w:ascii="Times New Roman" w:hAnsi="Times New Roman"/>
          <w:sz w:val="21"/>
          <w:szCs w:val="21"/>
        </w:rPr>
        <w:t>a</w:t>
      </w:r>
      <w:r>
        <w:rPr>
          <w:rFonts w:ascii="Times New Roman" w:hAnsi="Times New Roman"/>
          <w:sz w:val="21"/>
          <w:szCs w:val="21"/>
          <w:lang w:eastAsia="ko-KR"/>
        </w:rPr>
        <w:t>t least one</w:t>
      </w:r>
      <w:r>
        <w:rPr>
          <w:rFonts w:ascii="Times New Roman" w:hAnsi="Times New Roman"/>
          <w:sz w:val="21"/>
          <w:szCs w:val="21"/>
        </w:rPr>
        <w:t xml:space="preserve"> cell on the </w:t>
      </w:r>
      <w:r>
        <w:rPr>
          <w:rFonts w:ascii="Times New Roman" w:hAnsi="Times New Roman"/>
          <w:sz w:val="21"/>
          <w:szCs w:val="21"/>
          <w:lang w:eastAsia="ko-KR"/>
        </w:rPr>
        <w:t>frequency which UE is configured to perform V2X sidelink</w:t>
      </w:r>
      <w:r>
        <w:rPr>
          <w:rFonts w:hint="default" w:ascii="Times New Roman" w:hAnsi="Times New Roman" w:eastAsia="宋体"/>
          <w:sz w:val="21"/>
          <w:szCs w:val="21"/>
          <w:lang w:val="en-US" w:eastAsia="zh-CN"/>
        </w:rPr>
        <w:t xml:space="preserve"> communication </w:t>
      </w:r>
      <w:r>
        <w:rPr>
          <w:rFonts w:ascii="Times New Roman" w:hAnsi="Times New Roman"/>
          <w:sz w:val="21"/>
          <w:szCs w:val="21"/>
          <w:lang w:eastAsia="ko-KR"/>
        </w:rPr>
        <w:t>on fulfilling</w:t>
      </w:r>
      <w:r>
        <w:rPr>
          <w:rFonts w:ascii="Times New Roman" w:hAnsi="Times New Roman"/>
          <w:sz w:val="21"/>
          <w:szCs w:val="21"/>
        </w:rPr>
        <w:t xml:space="preserve"> the S</w:t>
      </w:r>
      <w:r>
        <w:rPr>
          <w:rFonts w:ascii="Times New Roman" w:hAnsi="Times New Roman"/>
          <w:sz w:val="21"/>
          <w:szCs w:val="21"/>
          <w:lang w:eastAsia="ko-KR"/>
        </w:rPr>
        <w:t xml:space="preserve"> </w:t>
      </w:r>
      <w:r>
        <w:rPr>
          <w:rFonts w:ascii="Times New Roman" w:hAnsi="Times New Roman"/>
          <w:sz w:val="21"/>
          <w:szCs w:val="21"/>
        </w:rPr>
        <w:t>criteri</w:t>
      </w:r>
      <w:r>
        <w:rPr>
          <w:rFonts w:ascii="Times New Roman" w:hAnsi="Times New Roman"/>
          <w:sz w:val="21"/>
          <w:szCs w:val="21"/>
          <w:lang w:eastAsia="ko-KR"/>
        </w:rPr>
        <w:t>on</w:t>
      </w:r>
      <w:r>
        <w:rPr>
          <w:rFonts w:ascii="Times New Roman" w:hAnsi="Times New Roman"/>
          <w:sz w:val="21"/>
          <w:szCs w:val="21"/>
        </w:rPr>
        <w:t xml:space="preserve">, it shall consider itself to be </w:t>
      </w:r>
      <w:r>
        <w:rPr>
          <w:rFonts w:ascii="Times New Roman" w:hAnsi="Times New Roman"/>
          <w:sz w:val="21"/>
          <w:szCs w:val="21"/>
          <w:lang w:eastAsia="ko-KR"/>
        </w:rPr>
        <w:t xml:space="preserve">in-coverage for V2X </w:t>
      </w:r>
      <w:r>
        <w:rPr>
          <w:rFonts w:ascii="Times New Roman" w:hAnsi="Times New Roman" w:eastAsia="Malgun Gothic"/>
          <w:sz w:val="21"/>
          <w:szCs w:val="21"/>
          <w:lang w:eastAsia="ko-KR"/>
        </w:rPr>
        <w:t>sidelink</w:t>
      </w:r>
      <w:r>
        <w:rPr>
          <w:rFonts w:ascii="Times New Roman" w:hAnsi="Times New Roman"/>
          <w:sz w:val="21"/>
          <w:szCs w:val="21"/>
          <w:lang w:eastAsia="ko-KR"/>
        </w:rPr>
        <w:t xml:space="preserve"> </w:t>
      </w:r>
      <w:r>
        <w:rPr>
          <w:rFonts w:hint="default" w:ascii="Times New Roman" w:hAnsi="Times New Roman" w:eastAsia="宋体"/>
          <w:sz w:val="21"/>
          <w:szCs w:val="21"/>
          <w:lang w:val="en-US" w:eastAsia="zh-CN"/>
        </w:rPr>
        <w:t xml:space="preserve">communication </w:t>
      </w:r>
      <w:r>
        <w:rPr>
          <w:rFonts w:ascii="Times New Roman" w:hAnsi="Times New Roman"/>
          <w:sz w:val="21"/>
          <w:szCs w:val="21"/>
          <w:lang w:eastAsia="ko-KR"/>
        </w:rPr>
        <w:t>on that frequency</w:t>
      </w:r>
      <w:r>
        <w:rPr>
          <w:rFonts w:ascii="Times New Roman" w:hAnsi="Times New Roman"/>
          <w:sz w:val="21"/>
          <w:szCs w:val="21"/>
        </w:rPr>
        <w:t xml:space="preserve">. If the UE </w:t>
      </w:r>
      <w:r>
        <w:rPr>
          <w:rFonts w:ascii="Times New Roman" w:hAnsi="Times New Roman"/>
          <w:sz w:val="21"/>
          <w:szCs w:val="21"/>
          <w:lang w:eastAsia="ko-KR"/>
        </w:rPr>
        <w:t xml:space="preserve">cannot detect any </w:t>
      </w:r>
      <w:r>
        <w:rPr>
          <w:rFonts w:ascii="Times New Roman" w:hAnsi="Times New Roman"/>
          <w:sz w:val="21"/>
          <w:szCs w:val="21"/>
        </w:rPr>
        <w:t xml:space="preserve">cell on </w:t>
      </w:r>
      <w:r>
        <w:rPr>
          <w:rFonts w:ascii="Times New Roman" w:hAnsi="Times New Roman"/>
          <w:sz w:val="21"/>
          <w:szCs w:val="21"/>
          <w:lang w:eastAsia="ko-KR"/>
        </w:rPr>
        <w:t xml:space="preserve">that frequency </w:t>
      </w:r>
      <w:r>
        <w:rPr>
          <w:rFonts w:ascii="Times New Roman" w:hAnsi="Times New Roman"/>
          <w:sz w:val="21"/>
          <w:szCs w:val="21"/>
        </w:rPr>
        <w:t xml:space="preserve">meeting </w:t>
      </w:r>
      <w:r>
        <w:rPr>
          <w:rFonts w:ascii="Times New Roman" w:hAnsi="Times New Roman"/>
          <w:sz w:val="21"/>
          <w:szCs w:val="21"/>
          <w:lang w:eastAsia="ko-KR"/>
        </w:rPr>
        <w:t xml:space="preserve">the </w:t>
      </w:r>
      <w:r>
        <w:rPr>
          <w:rFonts w:ascii="Times New Roman" w:hAnsi="Times New Roman"/>
          <w:sz w:val="21"/>
          <w:szCs w:val="21"/>
        </w:rPr>
        <w:t>S</w:t>
      </w:r>
      <w:r>
        <w:rPr>
          <w:rFonts w:ascii="Times New Roman" w:hAnsi="Times New Roman"/>
          <w:sz w:val="21"/>
          <w:szCs w:val="21"/>
          <w:lang w:eastAsia="ko-KR"/>
        </w:rPr>
        <w:t xml:space="preserve"> </w:t>
      </w:r>
      <w:r>
        <w:rPr>
          <w:rFonts w:ascii="Times New Roman" w:hAnsi="Times New Roman"/>
          <w:sz w:val="21"/>
          <w:szCs w:val="21"/>
        </w:rPr>
        <w:t>criteri</w:t>
      </w:r>
      <w:r>
        <w:rPr>
          <w:rFonts w:ascii="Times New Roman" w:hAnsi="Times New Roman"/>
          <w:sz w:val="21"/>
          <w:szCs w:val="21"/>
          <w:lang w:eastAsia="ko-KR"/>
        </w:rPr>
        <w:t>on</w:t>
      </w:r>
      <w:r>
        <w:rPr>
          <w:rFonts w:ascii="Times New Roman" w:hAnsi="Times New Roman"/>
          <w:sz w:val="21"/>
          <w:szCs w:val="21"/>
        </w:rPr>
        <w:t xml:space="preserve">, it shall consider itself to be </w:t>
      </w:r>
      <w:r>
        <w:rPr>
          <w:rFonts w:ascii="Times New Roman" w:hAnsi="Times New Roman"/>
          <w:sz w:val="21"/>
          <w:szCs w:val="21"/>
          <w:lang w:eastAsia="ko-KR"/>
        </w:rPr>
        <w:t xml:space="preserve">out-of-coverage for V2X </w:t>
      </w:r>
      <w:r>
        <w:rPr>
          <w:rFonts w:ascii="Times New Roman" w:hAnsi="Times New Roman" w:eastAsia="Malgun Gothic"/>
          <w:sz w:val="21"/>
          <w:szCs w:val="21"/>
          <w:lang w:eastAsia="ko-KR"/>
        </w:rPr>
        <w:t>sidelink</w:t>
      </w:r>
      <w:r>
        <w:rPr>
          <w:rFonts w:ascii="Times New Roman" w:hAnsi="Times New Roman"/>
          <w:sz w:val="21"/>
          <w:szCs w:val="21"/>
          <w:lang w:eastAsia="ko-KR"/>
        </w:rPr>
        <w:t xml:space="preserve"> </w:t>
      </w:r>
      <w:r>
        <w:rPr>
          <w:rFonts w:hint="default" w:ascii="Times New Roman" w:hAnsi="Times New Roman" w:eastAsia="宋体"/>
          <w:sz w:val="21"/>
          <w:szCs w:val="21"/>
          <w:lang w:val="en-US" w:eastAsia="zh-CN"/>
        </w:rPr>
        <w:t xml:space="preserve">communication </w:t>
      </w:r>
      <w:r>
        <w:rPr>
          <w:rFonts w:ascii="Times New Roman" w:hAnsi="Times New Roman"/>
          <w:sz w:val="21"/>
          <w:szCs w:val="21"/>
          <w:lang w:eastAsia="ko-KR"/>
        </w:rPr>
        <w:t>on that frequency.</w:t>
      </w:r>
      <w:r>
        <w:rPr>
          <w:rFonts w:hint="default" w:ascii="Times New Roman" w:hAnsi="Times New Roman" w:eastAsia="宋体"/>
          <w:sz w:val="21"/>
          <w:szCs w:val="21"/>
          <w:lang w:val="en-US" w:eastAsia="zh-CN"/>
        </w:rPr>
        <w:t xml:space="preserve"> </w:t>
      </w:r>
      <w:r>
        <w:rPr>
          <w:rFonts w:ascii="Times New Roman" w:hAnsi="Times New Roman"/>
          <w:sz w:val="21"/>
          <w:szCs w:val="21"/>
          <w:lang w:eastAsia="ko-KR"/>
        </w:rPr>
        <w:t>If the UE has selected a cell on a non-serving frequency for V2X sidelink communication</w:t>
      </w:r>
      <w:r>
        <w:rPr>
          <w:rFonts w:hint="default" w:ascii="Times New Roman" w:hAnsi="Times New Roman" w:eastAsia="宋体"/>
          <w:sz w:val="21"/>
          <w:szCs w:val="21"/>
          <w:lang w:val="en-US" w:eastAsia="zh-CN"/>
        </w:rPr>
        <w:t>,</w:t>
      </w:r>
      <w:r>
        <w:rPr>
          <w:rFonts w:ascii="Times New Roman" w:hAnsi="Times New Roman"/>
          <w:sz w:val="21"/>
          <w:szCs w:val="21"/>
          <w:lang w:eastAsia="ko-KR"/>
        </w:rPr>
        <w:t xml:space="preserve"> it </w:t>
      </w:r>
      <w:r>
        <w:rPr>
          <w:rFonts w:ascii="Times New Roman" w:hAnsi="Times New Roman"/>
          <w:sz w:val="21"/>
          <w:szCs w:val="21"/>
        </w:rPr>
        <w:t xml:space="preserve">shall </w:t>
      </w:r>
      <w:r>
        <w:rPr>
          <w:rFonts w:ascii="Times New Roman" w:hAnsi="Times New Roman"/>
          <w:sz w:val="21"/>
          <w:szCs w:val="21"/>
          <w:lang w:eastAsia="ko-KR"/>
        </w:rPr>
        <w:t>perform additional intra-frequency reselection process</w:t>
      </w:r>
      <w:r>
        <w:rPr>
          <w:rFonts w:ascii="Times New Roman" w:hAnsi="Times New Roman"/>
          <w:sz w:val="21"/>
          <w:szCs w:val="21"/>
        </w:rPr>
        <w:t xml:space="preserve"> to select </w:t>
      </w:r>
      <w:r>
        <w:rPr>
          <w:rFonts w:ascii="Times New Roman" w:hAnsi="Times New Roman"/>
          <w:sz w:val="21"/>
          <w:szCs w:val="21"/>
          <w:lang w:eastAsia="ko-KR"/>
        </w:rPr>
        <w:t xml:space="preserve">a better cell for </w:t>
      </w:r>
      <w:r>
        <w:rPr>
          <w:rFonts w:hint="default" w:ascii="Times New Roman" w:hAnsi="Times New Roman" w:eastAsia="宋体"/>
          <w:sz w:val="21"/>
          <w:szCs w:val="21"/>
          <w:lang w:val="en-US" w:eastAsia="zh-CN"/>
        </w:rPr>
        <w:t xml:space="preserve">V2X </w:t>
      </w:r>
      <w:r>
        <w:rPr>
          <w:rFonts w:ascii="Times New Roman" w:hAnsi="Times New Roman" w:eastAsia="Malgun Gothic"/>
          <w:sz w:val="21"/>
          <w:szCs w:val="21"/>
          <w:lang w:eastAsia="ko-KR"/>
        </w:rPr>
        <w:t>sidelink</w:t>
      </w:r>
      <w:r>
        <w:rPr>
          <w:rFonts w:ascii="Times New Roman" w:hAnsi="Times New Roman"/>
          <w:sz w:val="21"/>
          <w:szCs w:val="21"/>
          <w:lang w:eastAsia="ko-KR"/>
        </w:rPr>
        <w:t xml:space="preserve"> </w:t>
      </w:r>
      <w:r>
        <w:rPr>
          <w:rFonts w:hint="default" w:ascii="Times New Roman" w:hAnsi="Times New Roman" w:eastAsia="宋体"/>
          <w:sz w:val="21"/>
          <w:szCs w:val="21"/>
          <w:lang w:val="en-US" w:eastAsia="zh-CN"/>
        </w:rPr>
        <w:t xml:space="preserve">communication </w:t>
      </w:r>
      <w:r>
        <w:rPr>
          <w:rFonts w:ascii="Times New Roman" w:hAnsi="Times New Roman"/>
          <w:sz w:val="21"/>
          <w:szCs w:val="21"/>
          <w:lang w:eastAsia="ko-KR"/>
        </w:rPr>
        <w:t>on that frequency.</w:t>
      </w:r>
    </w:p>
    <w:p>
      <w:pPr>
        <w:spacing w:before="20" w:after="180" w:line="288" w:lineRule="auto"/>
        <w:rPr>
          <w:rFonts w:hint="default" w:ascii="Times New Roman" w:hAnsi="Times New Roman"/>
          <w:b/>
          <w:bCs/>
          <w:sz w:val="21"/>
          <w:szCs w:val="21"/>
          <w:lang w:val="en-US" w:eastAsia="zh-CN"/>
        </w:rPr>
      </w:pPr>
      <w:r>
        <w:rPr>
          <w:rFonts w:hint="default" w:ascii="Times New Roman" w:hAnsi="Times New Roman"/>
          <w:b/>
          <w:bCs/>
          <w:sz w:val="21"/>
          <w:szCs w:val="21"/>
          <w:lang w:val="en-US" w:eastAsia="zh-CN"/>
        </w:rPr>
        <w:t>Observation 1: In LTE V2X, if UE cannot detect any cell on the selected carrier which fulfill S criteria, then the UE regard it is out of coverage on that carrier. On the other hand, if UE can detect any cell which fulfill S criteria, then the UE regard it is in coverage on that carrier.</w:t>
      </w:r>
    </w:p>
    <w:p>
      <w:pPr>
        <w:spacing w:before="20" w:after="180" w:line="288" w:lineRule="auto"/>
        <w:rPr>
          <w:rFonts w:hint="default" w:ascii="Times New Roman" w:hAnsi="Times New Roman"/>
          <w:sz w:val="21"/>
          <w:szCs w:val="21"/>
          <w:lang w:val="en-US" w:eastAsia="zh-CN"/>
        </w:rPr>
      </w:pPr>
      <w:r>
        <w:rPr>
          <w:rFonts w:hint="default" w:ascii="Times New Roman" w:hAnsi="Times New Roman"/>
          <w:sz w:val="21"/>
          <w:szCs w:val="21"/>
          <w:lang w:val="en-US" w:eastAsia="zh-CN"/>
        </w:rPr>
        <w:t>When it comes to NR V2X, so far according to the discussion, it is agreed that an NR V2X UE can usually perform both NR V2X communication and LTE V2X communication if the UE is capable of both NR and LTE V2X communication and authorized by upper layer to perform both NR and LTE V2X communication. In addition, a LTE cell, as well as a NR cell, may both be able to provide both NR and LTE V2X configuration. Thereafter, it is not enough to decide the UE coverage status by only checking if the measurement result of any cell above the configured S criterion can be detected on certain frequency, instead, UE should firstly recognize the configuration for which RAT the cell can provide on the frequency. In other word, UE should check its coverage status for each RAT respectively.</w:t>
      </w:r>
    </w:p>
    <w:p>
      <w:pPr>
        <w:spacing w:before="20" w:after="180" w:line="288" w:lineRule="auto"/>
        <w:rPr>
          <w:rFonts w:hint="default" w:ascii="Times New Roman" w:hAnsi="Times New Roman"/>
          <w:sz w:val="21"/>
          <w:szCs w:val="21"/>
          <w:lang w:val="en-US" w:eastAsia="zh-CN"/>
        </w:rPr>
      </w:pPr>
      <w:r>
        <w:rPr>
          <w:rFonts w:hint="default" w:ascii="Times New Roman" w:hAnsi="Times New Roman"/>
          <w:b/>
          <w:bCs/>
          <w:sz w:val="21"/>
          <w:szCs w:val="21"/>
          <w:lang w:val="en-US" w:eastAsia="zh-CN"/>
        </w:rPr>
        <w:t>Proposal 1: In NR V2X, the legacy cell selection/reselection principle can be reused, but UE should check its coverage status for each RAT respectively.</w:t>
      </w:r>
    </w:p>
    <w:p>
      <w:pPr>
        <w:spacing w:before="20" w:after="180" w:line="288" w:lineRule="auto"/>
        <w:rPr>
          <w:rFonts w:hint="default" w:ascii="Times New Roman" w:hAnsi="Times New Roman"/>
          <w:sz w:val="21"/>
          <w:szCs w:val="21"/>
          <w:lang w:val="en-US" w:eastAsia="zh-CN"/>
        </w:rPr>
      </w:pPr>
      <w:r>
        <w:rPr>
          <w:rFonts w:hint="default" w:ascii="Times New Roman" w:hAnsi="Times New Roman"/>
          <w:sz w:val="21"/>
          <w:szCs w:val="21"/>
          <w:lang w:val="en-US" w:eastAsia="zh-CN"/>
        </w:rPr>
        <w:t>In details, if the UE would like to check its LTE RAT coverage status, the UE should detect whether there is any cell on the frequency (for both LTE and NR frequencies) which the UE is configured to perform LTE V2X operation on fulfilling the S criterion. If the UE can detect any such cell on the frequency, it shall consider itself to be in coverage for LTE V2X operation on that frequency. On the other hand, if the UE cannot detect any such cell on that frequency, it shall consider it self to be out-of coverage for LTE V2X operation on that frequency.</w:t>
      </w:r>
    </w:p>
    <w:p>
      <w:pPr>
        <w:spacing w:before="20" w:after="180" w:line="288" w:lineRule="auto"/>
        <w:rPr>
          <w:rFonts w:hint="default" w:ascii="Times New Roman" w:hAnsi="Times New Roman"/>
          <w:sz w:val="21"/>
          <w:szCs w:val="21"/>
          <w:lang w:val="en-US" w:eastAsia="zh-CN"/>
        </w:rPr>
      </w:pPr>
      <w:r>
        <w:rPr>
          <w:rFonts w:hint="default" w:ascii="Times New Roman" w:hAnsi="Times New Roman"/>
          <w:sz w:val="21"/>
          <w:szCs w:val="21"/>
          <w:lang w:val="en-US" w:eastAsia="zh-CN"/>
        </w:rPr>
        <w:t>On the other hand, if the UE would like to check its NR RAT coverage status, the UE should detect whether there is any cell on the frequency (for both LTE and NR frequencies) which the UE is configured to perform NR V2X operation on fulfilling the S criterion. If the UE can detect any such cell on the frequency, it shall consider itself to be in coverage for NR V2X operation on that frequency. On the other hand, if the UE cannot detect any such cell on that frequency, it shall consider itself to be out-of coverage for NR V2X operation on that frequency.</w:t>
      </w:r>
    </w:p>
    <w:p>
      <w:pPr>
        <w:spacing w:before="20" w:after="180" w:line="288" w:lineRule="auto"/>
        <w:rPr>
          <w:rFonts w:hint="default" w:ascii="Times New Roman" w:hAnsi="Times New Roman"/>
          <w:sz w:val="21"/>
          <w:szCs w:val="21"/>
          <w:lang w:val="en-US" w:eastAsia="zh-CN"/>
        </w:rPr>
      </w:pPr>
      <w:r>
        <w:rPr>
          <w:rFonts w:hint="default" w:ascii="Times New Roman" w:hAnsi="Times New Roman"/>
          <w:sz w:val="21"/>
          <w:szCs w:val="21"/>
          <w:lang w:val="en-US" w:eastAsia="zh-CN"/>
        </w:rPr>
        <w:t>Since LTE Uu frequency, as well as NR Uu frequency, can provide both NR and LTE sidelink configuration. In addition, it is agreed that description relevant to LTE Uu frequency shall be captured into 36.304 and description relevant to NR Uu frequency shall be captured into both 38.304 and 36.304. Thereafter, the description for NR V2X UE coverage status should be captured into both of the two specifications, where the CRs are attached as [1] and [2].</w:t>
      </w:r>
    </w:p>
    <w:p>
      <w:pPr>
        <w:spacing w:before="20" w:after="180" w:line="288" w:lineRule="auto"/>
        <w:rPr>
          <w:rFonts w:hint="default" w:ascii="Times New Roman" w:hAnsi="Times New Roman"/>
          <w:b/>
          <w:bCs/>
          <w:sz w:val="21"/>
          <w:szCs w:val="21"/>
          <w:lang w:val="en-US" w:eastAsia="zh-CN"/>
        </w:rPr>
      </w:pPr>
      <w:r>
        <w:rPr>
          <w:rFonts w:hint="default" w:ascii="Times New Roman" w:hAnsi="Times New Roman"/>
          <w:b/>
          <w:bCs/>
          <w:sz w:val="21"/>
          <w:szCs w:val="21"/>
          <w:lang w:val="en-US" w:eastAsia="zh-CN"/>
        </w:rPr>
        <w:t>Proposal 2: Relevant description of UE detecting NR and LTE RAT coverage status should be captured into both TS 38.304 and TS 36.304, corresponding CRs should be treated and agreed.</w:t>
      </w:r>
    </w:p>
    <w:p>
      <w:pPr>
        <w:pStyle w:val="2"/>
        <w:numPr>
          <w:ilvl w:val="0"/>
          <w:numId w:val="10"/>
        </w:numPr>
        <w:tabs>
          <w:tab w:val="left" w:pos="200"/>
          <w:tab w:val="clear" w:pos="432"/>
        </w:tabs>
        <w:spacing w:before="20" w:line="288" w:lineRule="auto"/>
        <w:ind w:left="425" w:hanging="425"/>
        <w:rPr>
          <w:rFonts w:ascii="Times New Roman" w:hAnsi="Times New Roman"/>
          <w:b/>
          <w:bCs/>
          <w:sz w:val="28"/>
          <w:szCs w:val="28"/>
        </w:rPr>
      </w:pPr>
      <w:r>
        <w:rPr>
          <w:rFonts w:ascii="Times New Roman" w:hAnsi="Times New Roman"/>
          <w:b/>
          <w:bCs/>
          <w:sz w:val="28"/>
          <w:szCs w:val="28"/>
        </w:rPr>
        <w:t>Conclusion</w:t>
      </w:r>
    </w:p>
    <w:p>
      <w:pPr>
        <w:spacing w:before="20" w:after="180" w:line="288" w:lineRule="auto"/>
        <w:rPr>
          <w:rFonts w:hint="default" w:ascii="Times New Roman" w:hAnsi="Times New Roman" w:eastAsia="宋体"/>
          <w:sz w:val="21"/>
          <w:szCs w:val="21"/>
          <w:lang w:val="en-US" w:eastAsia="zh-CN"/>
        </w:rPr>
      </w:pPr>
      <w:r>
        <w:rPr>
          <w:rFonts w:hint="default" w:ascii="Times New Roman" w:hAnsi="Times New Roman" w:eastAsia="宋体"/>
          <w:sz w:val="21"/>
          <w:szCs w:val="21"/>
          <w:lang w:val="en-US" w:eastAsia="zh-CN"/>
        </w:rPr>
        <w:t>In this contribution, we have addressed the issue that relevant description of NR V2X UE coverage status are missing in both TS 36.304 and TS 38.304, and provide alternative principle to capture the necessary description, some observation and proposals are provided in the following:</w:t>
      </w:r>
    </w:p>
    <w:p>
      <w:pPr>
        <w:spacing w:before="20" w:after="180" w:line="288" w:lineRule="auto"/>
        <w:rPr>
          <w:rFonts w:hint="default" w:ascii="Times New Roman" w:hAnsi="Times New Roman"/>
          <w:b/>
          <w:bCs/>
          <w:sz w:val="21"/>
          <w:szCs w:val="21"/>
          <w:lang w:val="en-US" w:eastAsia="zh-CN"/>
        </w:rPr>
      </w:pPr>
      <w:r>
        <w:rPr>
          <w:rFonts w:hint="default" w:ascii="Times New Roman" w:hAnsi="Times New Roman"/>
          <w:b/>
          <w:bCs/>
          <w:sz w:val="21"/>
          <w:szCs w:val="21"/>
          <w:lang w:val="en-US" w:eastAsia="zh-CN"/>
        </w:rPr>
        <w:t>Observation 1: In LTE V2X, if UE cannot detect any cell on the selected carrier which fulfill S criteria, then the UE regard it is out of coverage on that carrier. On the other hand, if UE can detect any cell which fulfill S criteria, then the UE regard it is in coverage on that carrier.</w:t>
      </w:r>
    </w:p>
    <w:p>
      <w:pPr>
        <w:spacing w:before="20" w:after="180" w:line="288" w:lineRule="auto"/>
        <w:rPr>
          <w:rFonts w:hint="default" w:ascii="Times New Roman" w:hAnsi="Times New Roman"/>
          <w:sz w:val="21"/>
          <w:szCs w:val="21"/>
          <w:lang w:val="en-US" w:eastAsia="zh-CN"/>
        </w:rPr>
      </w:pPr>
      <w:r>
        <w:rPr>
          <w:rFonts w:hint="default" w:ascii="Times New Roman" w:hAnsi="Times New Roman"/>
          <w:b/>
          <w:bCs/>
          <w:sz w:val="21"/>
          <w:szCs w:val="21"/>
          <w:lang w:val="en-US" w:eastAsia="zh-CN"/>
        </w:rPr>
        <w:t>Proposal 1: In NR V2X, the legacy cell selection/reselection principle can be reused, but UE should check its coverage status for each RAT respectively.</w:t>
      </w:r>
    </w:p>
    <w:p>
      <w:pPr>
        <w:spacing w:before="20" w:after="180" w:line="288" w:lineRule="auto"/>
        <w:rPr>
          <w:rFonts w:hint="default" w:ascii="Times New Roman" w:hAnsi="Times New Roman"/>
          <w:b/>
          <w:bCs/>
          <w:sz w:val="21"/>
          <w:szCs w:val="21"/>
          <w:lang w:val="en-US" w:eastAsia="zh-CN"/>
        </w:rPr>
      </w:pPr>
      <w:bookmarkStart w:id="4" w:name="_In-sequence_SDU_delivery"/>
      <w:bookmarkEnd w:id="4"/>
      <w:bookmarkStart w:id="5" w:name="_Ref450865335"/>
      <w:bookmarkStart w:id="6" w:name="_Ref174151459"/>
      <w:bookmarkStart w:id="7" w:name="_Ref189809556"/>
      <w:r>
        <w:rPr>
          <w:rFonts w:hint="default" w:ascii="Times New Roman" w:hAnsi="Times New Roman"/>
          <w:b/>
          <w:bCs/>
          <w:sz w:val="21"/>
          <w:szCs w:val="21"/>
          <w:lang w:val="en-US" w:eastAsia="zh-CN"/>
        </w:rPr>
        <w:t>Proposal 2: Relevant description of UE detecting NR and LTE RAT coverage status should be captured into both TS 38.304 and TS 36.304, corresponding CRs should be treated and agreed.</w:t>
      </w:r>
    </w:p>
    <w:p>
      <w:pPr>
        <w:pStyle w:val="2"/>
        <w:numPr>
          <w:ilvl w:val="0"/>
          <w:numId w:val="10"/>
        </w:numPr>
        <w:tabs>
          <w:tab w:val="left" w:pos="200"/>
          <w:tab w:val="clear" w:pos="432"/>
        </w:tabs>
        <w:spacing w:before="20" w:line="288" w:lineRule="auto"/>
        <w:ind w:left="425" w:hanging="425"/>
        <w:rPr>
          <w:rFonts w:ascii="Times New Roman" w:hAnsi="Times New Roman"/>
          <w:b/>
          <w:bCs/>
          <w:sz w:val="28"/>
          <w:szCs w:val="28"/>
        </w:rPr>
      </w:pPr>
      <w:r>
        <w:rPr>
          <w:rFonts w:hint="default" w:ascii="Times New Roman" w:hAnsi="Times New Roman"/>
          <w:b/>
          <w:bCs/>
          <w:sz w:val="28"/>
          <w:szCs w:val="28"/>
        </w:rPr>
        <w:t>Reference</w:t>
      </w:r>
      <w:bookmarkEnd w:id="5"/>
      <w:bookmarkEnd w:id="6"/>
      <w:bookmarkEnd w:id="7"/>
    </w:p>
    <w:p>
      <w:pPr>
        <w:numPr>
          <w:ilvl w:val="0"/>
          <w:numId w:val="11"/>
        </w:numPr>
        <w:spacing w:before="20" w:after="180" w:line="288" w:lineRule="auto"/>
        <w:rPr>
          <w:rFonts w:hint="default" w:ascii="Times New Roman" w:hAnsi="Times New Roman"/>
          <w:sz w:val="21"/>
          <w:szCs w:val="21"/>
          <w:lang w:val="en-US" w:eastAsia="zh-CN"/>
        </w:rPr>
      </w:pPr>
      <w:r>
        <w:rPr>
          <w:rFonts w:hint="default" w:ascii="Times New Roman" w:hAnsi="Times New Roman"/>
          <w:sz w:val="21"/>
          <w:szCs w:val="21"/>
          <w:lang w:val="en-US" w:eastAsia="zh-CN"/>
        </w:rPr>
        <w:t>R2-1914563 CR on NR V2X UE coverage status description in TS 36.304</w:t>
      </w:r>
    </w:p>
    <w:p>
      <w:pPr>
        <w:numPr>
          <w:ilvl w:val="0"/>
          <w:numId w:val="11"/>
        </w:numPr>
        <w:spacing w:before="20" w:after="180" w:line="288" w:lineRule="auto"/>
        <w:rPr>
          <w:rFonts w:hint="default" w:ascii="Times New Roman" w:hAnsi="Times New Roman"/>
          <w:sz w:val="21"/>
          <w:szCs w:val="21"/>
          <w:lang w:val="en-US" w:eastAsia="zh-CN"/>
        </w:rPr>
      </w:pPr>
      <w:r>
        <w:rPr>
          <w:rFonts w:hint="default" w:ascii="Times New Roman" w:hAnsi="Times New Roman"/>
          <w:sz w:val="21"/>
          <w:szCs w:val="21"/>
          <w:lang w:val="en-US" w:eastAsia="zh-CN"/>
        </w:rPr>
        <w:t>R2-1914564 CR on NR V2X UE coverage status description in TS 38.304</w:t>
      </w:r>
    </w:p>
    <w:sectPr>
      <w:footerReference r:id="rId4" w:type="default"/>
      <w:headerReference r:id="rId3"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fldChar w:fldCharType="begin"/>
    </w:r>
    <w:r>
      <w:rPr>
        <w:rStyle w:val="47"/>
      </w:rPr>
      <w:instrText xml:space="preserve"> PAGE </w:instrText>
    </w:r>
    <w:r>
      <w:fldChar w:fldCharType="separate"/>
    </w:r>
    <w:r>
      <w:rPr>
        <w:rStyle w:val="47"/>
      </w:rPr>
      <w:t>1</w:t>
    </w:r>
    <w:r>
      <w:fldChar w:fldCharType="end"/>
    </w:r>
    <w:r>
      <w:rPr>
        <w:rStyle w:val="47"/>
      </w:rPr>
      <w:t>/</w:t>
    </w:r>
    <w:r>
      <w:fldChar w:fldCharType="begin"/>
    </w:r>
    <w:r>
      <w:rPr>
        <w:rStyle w:val="47"/>
      </w:rPr>
      <w:instrText xml:space="preserve"> NUMPAGES </w:instrText>
    </w:r>
    <w:r>
      <w:fldChar w:fldCharType="separate"/>
    </w:r>
    <w:r>
      <w:rPr>
        <w:rStyle w:val="47"/>
      </w:rPr>
      <w:t>8</w:t>
    </w:r>
    <w:r>
      <w:fldChar w:fldCharType="end"/>
    </w:r>
    <w:r>
      <w:rPr>
        <w:rStyle w:val="47"/>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AA46647"/>
    <w:multiLevelType w:val="multilevel"/>
    <w:tmpl w:val="3AA46647"/>
    <w:lvl w:ilvl="0" w:tentative="0">
      <w:start w:val="1"/>
      <w:numFmt w:val="decimal"/>
      <w:pStyle w:val="7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5">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7ED6C05"/>
    <w:multiLevelType w:val="singleLevel"/>
    <w:tmpl w:val="47ED6C05"/>
    <w:lvl w:ilvl="0" w:tentative="0">
      <w:start w:val="1"/>
      <w:numFmt w:val="decimal"/>
      <w:lvlText w:val="%1."/>
      <w:lvlJc w:val="left"/>
      <w:pPr>
        <w:ind w:left="425" w:hanging="425"/>
      </w:pPr>
      <w:rPr>
        <w:rFonts w:hint="default"/>
      </w:rPr>
    </w:lvl>
  </w:abstractNum>
  <w:abstractNum w:abstractNumId="7">
    <w:nsid w:val="4BDF65F6"/>
    <w:multiLevelType w:val="multilevel"/>
    <w:tmpl w:val="4BDF65F6"/>
    <w:lvl w:ilvl="0" w:tentative="0">
      <w:start w:val="1"/>
      <w:numFmt w:val="decimal"/>
      <w:pStyle w:val="6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88"/>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C1401CF"/>
    <w:multiLevelType w:val="singleLevel"/>
    <w:tmpl w:val="7C1401CF"/>
    <w:lvl w:ilvl="0" w:tentative="0">
      <w:start w:val="1"/>
      <w:numFmt w:val="decimal"/>
      <w:suff w:val="space"/>
      <w:lvlText w:val="[%1]"/>
      <w:lvlJc w:val="left"/>
    </w:lvl>
  </w:abstractNum>
  <w:num w:numId="1">
    <w:abstractNumId w:val="0"/>
  </w:num>
  <w:num w:numId="2">
    <w:abstractNumId w:val="2"/>
  </w:num>
  <w:num w:numId="3">
    <w:abstractNumId w:val="9"/>
  </w:num>
  <w:num w:numId="4">
    <w:abstractNumId w:val="5"/>
  </w:num>
  <w:num w:numId="5">
    <w:abstractNumId w:val="1"/>
  </w:num>
  <w:num w:numId="6">
    <w:abstractNumId w:val="4"/>
  </w:num>
  <w:num w:numId="7">
    <w:abstractNumId w:val="7"/>
  </w:num>
  <w:num w:numId="8">
    <w:abstractNumId w:val="3"/>
  </w:num>
  <w:num w:numId="9">
    <w:abstractNumId w:val="8"/>
  </w:num>
  <w:num w:numId="10">
    <w:abstractNumId w:val="6"/>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hyphenationZone w:val="360"/>
  <w:doNotHyphenateCaps/>
  <w:drawingGridHorizontalSpacing w:val="120"/>
  <w:drawingGridVerticalSpacing w:val="120"/>
  <w:displayHorizontalDrawingGridEvery w:val="0"/>
  <w:displayVerticalDrawingGridEvery w:val="2"/>
  <w:doNotUseMarginsForDrawingGridOrigin w:val="1"/>
  <w:drawingGridHorizontalOrigin w:val="1701"/>
  <w:drawingGridVerticalOrigin w:val="1984"/>
  <w:doNotShadeFormData w:val="1"/>
  <w:characterSpacingControl w:val="doNotCompress"/>
  <w:footnotePr>
    <w:numRestart w:val="eachSect"/>
  </w:footnotePr>
  <w:compat>
    <w:spaceForUL/>
    <w:balanceSingleByteDoubleByteWidth/>
    <w:doNotLeaveBackslashAlone/>
    <w:ulTrailSpace/>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MwM7YwMjQzNTYxMDJS0lEKTi0uzszPAykwNKgFAMEAQCotAAAA"/>
  </w:docVars>
  <w:rsids>
    <w:rsidRoot w:val="002804D3"/>
    <w:rsid w:val="000006E1"/>
    <w:rsid w:val="000013AA"/>
    <w:rsid w:val="00002A37"/>
    <w:rsid w:val="00003520"/>
    <w:rsid w:val="00003772"/>
    <w:rsid w:val="00006446"/>
    <w:rsid w:val="00006896"/>
    <w:rsid w:val="00007CDC"/>
    <w:rsid w:val="00011B28"/>
    <w:rsid w:val="00013653"/>
    <w:rsid w:val="00015D15"/>
    <w:rsid w:val="0002343A"/>
    <w:rsid w:val="0002564D"/>
    <w:rsid w:val="00025ECA"/>
    <w:rsid w:val="0003189F"/>
    <w:rsid w:val="000325B8"/>
    <w:rsid w:val="00034C15"/>
    <w:rsid w:val="0003688D"/>
    <w:rsid w:val="00036BA1"/>
    <w:rsid w:val="00036DE5"/>
    <w:rsid w:val="000422E2"/>
    <w:rsid w:val="00042604"/>
    <w:rsid w:val="00042F22"/>
    <w:rsid w:val="000444EF"/>
    <w:rsid w:val="000460BB"/>
    <w:rsid w:val="00046189"/>
    <w:rsid w:val="00046743"/>
    <w:rsid w:val="00047EB3"/>
    <w:rsid w:val="00052A07"/>
    <w:rsid w:val="000534E3"/>
    <w:rsid w:val="000559BF"/>
    <w:rsid w:val="0005606A"/>
    <w:rsid w:val="00057117"/>
    <w:rsid w:val="000616E7"/>
    <w:rsid w:val="000625B5"/>
    <w:rsid w:val="0006487E"/>
    <w:rsid w:val="00064D00"/>
    <w:rsid w:val="00065E1A"/>
    <w:rsid w:val="00067DC4"/>
    <w:rsid w:val="00077585"/>
    <w:rsid w:val="00077E5F"/>
    <w:rsid w:val="00080201"/>
    <w:rsid w:val="0008036A"/>
    <w:rsid w:val="00080797"/>
    <w:rsid w:val="00080B1B"/>
    <w:rsid w:val="00081AE6"/>
    <w:rsid w:val="000855EB"/>
    <w:rsid w:val="00085B52"/>
    <w:rsid w:val="00086610"/>
    <w:rsid w:val="000866F2"/>
    <w:rsid w:val="0009009F"/>
    <w:rsid w:val="00090366"/>
    <w:rsid w:val="000909D2"/>
    <w:rsid w:val="00091557"/>
    <w:rsid w:val="0009169D"/>
    <w:rsid w:val="000924C1"/>
    <w:rsid w:val="000924F0"/>
    <w:rsid w:val="00093474"/>
    <w:rsid w:val="000934A5"/>
    <w:rsid w:val="0009493B"/>
    <w:rsid w:val="0009510F"/>
    <w:rsid w:val="00097F12"/>
    <w:rsid w:val="000A1B7B"/>
    <w:rsid w:val="000A56F2"/>
    <w:rsid w:val="000A74D2"/>
    <w:rsid w:val="000B190F"/>
    <w:rsid w:val="000B1999"/>
    <w:rsid w:val="000B2719"/>
    <w:rsid w:val="000B3A8F"/>
    <w:rsid w:val="000B4AB9"/>
    <w:rsid w:val="000B4D98"/>
    <w:rsid w:val="000B58C3"/>
    <w:rsid w:val="000B61E9"/>
    <w:rsid w:val="000B6DAB"/>
    <w:rsid w:val="000C165A"/>
    <w:rsid w:val="000C2E19"/>
    <w:rsid w:val="000C3E70"/>
    <w:rsid w:val="000C47E7"/>
    <w:rsid w:val="000C66FC"/>
    <w:rsid w:val="000D0220"/>
    <w:rsid w:val="000D0D07"/>
    <w:rsid w:val="000D3FD1"/>
    <w:rsid w:val="000D4797"/>
    <w:rsid w:val="000D623A"/>
    <w:rsid w:val="000E0527"/>
    <w:rsid w:val="000E1E92"/>
    <w:rsid w:val="000E4C76"/>
    <w:rsid w:val="000F0513"/>
    <w:rsid w:val="000F06D6"/>
    <w:rsid w:val="000F0C1D"/>
    <w:rsid w:val="000F0C49"/>
    <w:rsid w:val="000F0EB1"/>
    <w:rsid w:val="000F1106"/>
    <w:rsid w:val="000F28C0"/>
    <w:rsid w:val="000F2A33"/>
    <w:rsid w:val="000F389A"/>
    <w:rsid w:val="000F3BE9"/>
    <w:rsid w:val="000F3F6C"/>
    <w:rsid w:val="000F6DF3"/>
    <w:rsid w:val="001005C4"/>
    <w:rsid w:val="001005FF"/>
    <w:rsid w:val="00100B27"/>
    <w:rsid w:val="00102EE4"/>
    <w:rsid w:val="001062FB"/>
    <w:rsid w:val="001063E6"/>
    <w:rsid w:val="001110A6"/>
    <w:rsid w:val="001129A9"/>
    <w:rsid w:val="00113CF4"/>
    <w:rsid w:val="00114A7A"/>
    <w:rsid w:val="001153EA"/>
    <w:rsid w:val="00115643"/>
    <w:rsid w:val="00116765"/>
    <w:rsid w:val="001219F5"/>
    <w:rsid w:val="00121A20"/>
    <w:rsid w:val="0012377F"/>
    <w:rsid w:val="00124314"/>
    <w:rsid w:val="00125154"/>
    <w:rsid w:val="00126B4A"/>
    <w:rsid w:val="00132085"/>
    <w:rsid w:val="00132FD0"/>
    <w:rsid w:val="001344C0"/>
    <w:rsid w:val="001346FA"/>
    <w:rsid w:val="00134981"/>
    <w:rsid w:val="00135252"/>
    <w:rsid w:val="00136B2C"/>
    <w:rsid w:val="00137AB5"/>
    <w:rsid w:val="00137F0B"/>
    <w:rsid w:val="00142EB5"/>
    <w:rsid w:val="0014574E"/>
    <w:rsid w:val="001464F7"/>
    <w:rsid w:val="00147819"/>
    <w:rsid w:val="0015176A"/>
    <w:rsid w:val="00151CF9"/>
    <w:rsid w:val="00151E23"/>
    <w:rsid w:val="001526E0"/>
    <w:rsid w:val="001551B5"/>
    <w:rsid w:val="0015739D"/>
    <w:rsid w:val="001605D8"/>
    <w:rsid w:val="001649DF"/>
    <w:rsid w:val="00165545"/>
    <w:rsid w:val="001659C1"/>
    <w:rsid w:val="00166588"/>
    <w:rsid w:val="00166BB5"/>
    <w:rsid w:val="001710FA"/>
    <w:rsid w:val="00173A8E"/>
    <w:rsid w:val="00176A65"/>
    <w:rsid w:val="0018143F"/>
    <w:rsid w:val="00183C22"/>
    <w:rsid w:val="00190AC1"/>
    <w:rsid w:val="0019234F"/>
    <w:rsid w:val="0019341A"/>
    <w:rsid w:val="00193C64"/>
    <w:rsid w:val="00196086"/>
    <w:rsid w:val="00197DF9"/>
    <w:rsid w:val="001A1987"/>
    <w:rsid w:val="001A2489"/>
    <w:rsid w:val="001A2564"/>
    <w:rsid w:val="001A6173"/>
    <w:rsid w:val="001A6CBA"/>
    <w:rsid w:val="001B05F9"/>
    <w:rsid w:val="001B0D97"/>
    <w:rsid w:val="001B5A5D"/>
    <w:rsid w:val="001C1CE5"/>
    <w:rsid w:val="001C3D2A"/>
    <w:rsid w:val="001D179D"/>
    <w:rsid w:val="001D3403"/>
    <w:rsid w:val="001D51BA"/>
    <w:rsid w:val="001D6342"/>
    <w:rsid w:val="001D6D53"/>
    <w:rsid w:val="001E03C9"/>
    <w:rsid w:val="001E1125"/>
    <w:rsid w:val="001E1216"/>
    <w:rsid w:val="001E1805"/>
    <w:rsid w:val="001E39D7"/>
    <w:rsid w:val="001E58E2"/>
    <w:rsid w:val="001E7AED"/>
    <w:rsid w:val="001F3916"/>
    <w:rsid w:val="001F3E89"/>
    <w:rsid w:val="001F54C5"/>
    <w:rsid w:val="001F662C"/>
    <w:rsid w:val="001F7074"/>
    <w:rsid w:val="001F79DB"/>
    <w:rsid w:val="001F7A7C"/>
    <w:rsid w:val="00200490"/>
    <w:rsid w:val="00200B47"/>
    <w:rsid w:val="00201F3A"/>
    <w:rsid w:val="00202E05"/>
    <w:rsid w:val="00203F96"/>
    <w:rsid w:val="002069B2"/>
    <w:rsid w:val="00207FA3"/>
    <w:rsid w:val="00210F3F"/>
    <w:rsid w:val="00211097"/>
    <w:rsid w:val="00214316"/>
    <w:rsid w:val="00214DA8"/>
    <w:rsid w:val="00215423"/>
    <w:rsid w:val="002158FA"/>
    <w:rsid w:val="00220600"/>
    <w:rsid w:val="00220F69"/>
    <w:rsid w:val="002224DB"/>
    <w:rsid w:val="00223FCB"/>
    <w:rsid w:val="002252C3"/>
    <w:rsid w:val="00225C54"/>
    <w:rsid w:val="00230765"/>
    <w:rsid w:val="002319E4"/>
    <w:rsid w:val="00235632"/>
    <w:rsid w:val="00235872"/>
    <w:rsid w:val="002368D8"/>
    <w:rsid w:val="00241559"/>
    <w:rsid w:val="002435B3"/>
    <w:rsid w:val="00244D53"/>
    <w:rsid w:val="002458EB"/>
    <w:rsid w:val="00246CE1"/>
    <w:rsid w:val="002500C8"/>
    <w:rsid w:val="002507A9"/>
    <w:rsid w:val="00256FFB"/>
    <w:rsid w:val="00257543"/>
    <w:rsid w:val="002617E7"/>
    <w:rsid w:val="00262C31"/>
    <w:rsid w:val="00264228"/>
    <w:rsid w:val="00264334"/>
    <w:rsid w:val="0026473E"/>
    <w:rsid w:val="0026486C"/>
    <w:rsid w:val="00264F75"/>
    <w:rsid w:val="00266214"/>
    <w:rsid w:val="00266BD5"/>
    <w:rsid w:val="00267C83"/>
    <w:rsid w:val="002700A1"/>
    <w:rsid w:val="002713BC"/>
    <w:rsid w:val="0027144F"/>
    <w:rsid w:val="00271813"/>
    <w:rsid w:val="00271F3A"/>
    <w:rsid w:val="00273278"/>
    <w:rsid w:val="002737F4"/>
    <w:rsid w:val="00274AF9"/>
    <w:rsid w:val="00274DD2"/>
    <w:rsid w:val="00276268"/>
    <w:rsid w:val="002804D3"/>
    <w:rsid w:val="002805F5"/>
    <w:rsid w:val="00280751"/>
    <w:rsid w:val="00280D01"/>
    <w:rsid w:val="0028280A"/>
    <w:rsid w:val="002848D1"/>
    <w:rsid w:val="00285790"/>
    <w:rsid w:val="00286ACD"/>
    <w:rsid w:val="00287838"/>
    <w:rsid w:val="002907B5"/>
    <w:rsid w:val="00290CBE"/>
    <w:rsid w:val="00292EB7"/>
    <w:rsid w:val="0029425C"/>
    <w:rsid w:val="00294B7B"/>
    <w:rsid w:val="00296227"/>
    <w:rsid w:val="00296F44"/>
    <w:rsid w:val="0029777D"/>
    <w:rsid w:val="002A055E"/>
    <w:rsid w:val="002A0D2D"/>
    <w:rsid w:val="002A134C"/>
    <w:rsid w:val="002A1D4E"/>
    <w:rsid w:val="002A2072"/>
    <w:rsid w:val="002A2869"/>
    <w:rsid w:val="002A517B"/>
    <w:rsid w:val="002A630C"/>
    <w:rsid w:val="002B15AC"/>
    <w:rsid w:val="002B24D6"/>
    <w:rsid w:val="002B333E"/>
    <w:rsid w:val="002B56AF"/>
    <w:rsid w:val="002B63A8"/>
    <w:rsid w:val="002C038A"/>
    <w:rsid w:val="002C3E91"/>
    <w:rsid w:val="002C41E6"/>
    <w:rsid w:val="002C7540"/>
    <w:rsid w:val="002D071A"/>
    <w:rsid w:val="002D34B2"/>
    <w:rsid w:val="002D42BD"/>
    <w:rsid w:val="002D7637"/>
    <w:rsid w:val="002E17F2"/>
    <w:rsid w:val="002E27A3"/>
    <w:rsid w:val="002E7C4D"/>
    <w:rsid w:val="002E7CAE"/>
    <w:rsid w:val="002F2771"/>
    <w:rsid w:val="002F37A9"/>
    <w:rsid w:val="002F671E"/>
    <w:rsid w:val="002F69B6"/>
    <w:rsid w:val="00300832"/>
    <w:rsid w:val="00301CE6"/>
    <w:rsid w:val="00301E69"/>
    <w:rsid w:val="0030256B"/>
    <w:rsid w:val="003034C3"/>
    <w:rsid w:val="0030501F"/>
    <w:rsid w:val="003066C7"/>
    <w:rsid w:val="00307BA1"/>
    <w:rsid w:val="00307D2A"/>
    <w:rsid w:val="00311702"/>
    <w:rsid w:val="00311E82"/>
    <w:rsid w:val="0031212E"/>
    <w:rsid w:val="00313FD6"/>
    <w:rsid w:val="003143BD"/>
    <w:rsid w:val="00315DCE"/>
    <w:rsid w:val="003203ED"/>
    <w:rsid w:val="00321CCD"/>
    <w:rsid w:val="00322C9F"/>
    <w:rsid w:val="00324D23"/>
    <w:rsid w:val="00327028"/>
    <w:rsid w:val="00331751"/>
    <w:rsid w:val="00332576"/>
    <w:rsid w:val="00334579"/>
    <w:rsid w:val="00334DA1"/>
    <w:rsid w:val="003350B7"/>
    <w:rsid w:val="0033575F"/>
    <w:rsid w:val="00335858"/>
    <w:rsid w:val="00336BDA"/>
    <w:rsid w:val="00342BD7"/>
    <w:rsid w:val="00346DB5"/>
    <w:rsid w:val="0034711D"/>
    <w:rsid w:val="003477B1"/>
    <w:rsid w:val="00354EB9"/>
    <w:rsid w:val="00355060"/>
    <w:rsid w:val="00357380"/>
    <w:rsid w:val="003600F7"/>
    <w:rsid w:val="003602D9"/>
    <w:rsid w:val="003604CE"/>
    <w:rsid w:val="00360A36"/>
    <w:rsid w:val="00360DB3"/>
    <w:rsid w:val="00363E88"/>
    <w:rsid w:val="0036658C"/>
    <w:rsid w:val="00370E47"/>
    <w:rsid w:val="00371DB1"/>
    <w:rsid w:val="00372591"/>
    <w:rsid w:val="003742AC"/>
    <w:rsid w:val="003746F2"/>
    <w:rsid w:val="00377CE1"/>
    <w:rsid w:val="00385BF0"/>
    <w:rsid w:val="00387B94"/>
    <w:rsid w:val="003939FF"/>
    <w:rsid w:val="003A2223"/>
    <w:rsid w:val="003A2294"/>
    <w:rsid w:val="003A2A0F"/>
    <w:rsid w:val="003A2C9F"/>
    <w:rsid w:val="003A45A1"/>
    <w:rsid w:val="003A5154"/>
    <w:rsid w:val="003A5B0A"/>
    <w:rsid w:val="003A6BAC"/>
    <w:rsid w:val="003A7EF3"/>
    <w:rsid w:val="003B159C"/>
    <w:rsid w:val="003B369F"/>
    <w:rsid w:val="003B36A3"/>
    <w:rsid w:val="003B7FE5"/>
    <w:rsid w:val="003C041A"/>
    <w:rsid w:val="003C0464"/>
    <w:rsid w:val="003C11C8"/>
    <w:rsid w:val="003C19DA"/>
    <w:rsid w:val="003C2702"/>
    <w:rsid w:val="003C7806"/>
    <w:rsid w:val="003D000C"/>
    <w:rsid w:val="003D109F"/>
    <w:rsid w:val="003D2478"/>
    <w:rsid w:val="003D2D2D"/>
    <w:rsid w:val="003D31A8"/>
    <w:rsid w:val="003D3C45"/>
    <w:rsid w:val="003D5B1F"/>
    <w:rsid w:val="003E15FA"/>
    <w:rsid w:val="003E2EC0"/>
    <w:rsid w:val="003E4DD3"/>
    <w:rsid w:val="003E55E4"/>
    <w:rsid w:val="003E74E3"/>
    <w:rsid w:val="003F05C7"/>
    <w:rsid w:val="003F1455"/>
    <w:rsid w:val="003F2CD4"/>
    <w:rsid w:val="003F435A"/>
    <w:rsid w:val="003F6BBE"/>
    <w:rsid w:val="003F7A9A"/>
    <w:rsid w:val="004000E8"/>
    <w:rsid w:val="00400664"/>
    <w:rsid w:val="00402E2B"/>
    <w:rsid w:val="0040512B"/>
    <w:rsid w:val="00405CA5"/>
    <w:rsid w:val="00406283"/>
    <w:rsid w:val="00407CD3"/>
    <w:rsid w:val="00410134"/>
    <w:rsid w:val="00410B72"/>
    <w:rsid w:val="00410F18"/>
    <w:rsid w:val="0041263E"/>
    <w:rsid w:val="00413AAC"/>
    <w:rsid w:val="00413E92"/>
    <w:rsid w:val="00417191"/>
    <w:rsid w:val="00420541"/>
    <w:rsid w:val="00421105"/>
    <w:rsid w:val="004242F4"/>
    <w:rsid w:val="00425B88"/>
    <w:rsid w:val="00425ECE"/>
    <w:rsid w:val="00427248"/>
    <w:rsid w:val="0043085D"/>
    <w:rsid w:val="00432003"/>
    <w:rsid w:val="00435E43"/>
    <w:rsid w:val="00437320"/>
    <w:rsid w:val="00437447"/>
    <w:rsid w:val="00441A92"/>
    <w:rsid w:val="00444F56"/>
    <w:rsid w:val="00446488"/>
    <w:rsid w:val="004517AA"/>
    <w:rsid w:val="00452CAC"/>
    <w:rsid w:val="00452F3E"/>
    <w:rsid w:val="00457565"/>
    <w:rsid w:val="00457B71"/>
    <w:rsid w:val="004652FD"/>
    <w:rsid w:val="004669E2"/>
    <w:rsid w:val="0047042B"/>
    <w:rsid w:val="00470C31"/>
    <w:rsid w:val="004734D0"/>
    <w:rsid w:val="0047556B"/>
    <w:rsid w:val="00477768"/>
    <w:rsid w:val="00483F9B"/>
    <w:rsid w:val="00487631"/>
    <w:rsid w:val="00490DE1"/>
    <w:rsid w:val="004914F8"/>
    <w:rsid w:val="00492BC5"/>
    <w:rsid w:val="00495A0E"/>
    <w:rsid w:val="004964F1"/>
    <w:rsid w:val="00496ABA"/>
    <w:rsid w:val="004A16BC"/>
    <w:rsid w:val="004A2B94"/>
    <w:rsid w:val="004B7C0C"/>
    <w:rsid w:val="004C3898"/>
    <w:rsid w:val="004C48E0"/>
    <w:rsid w:val="004C6785"/>
    <w:rsid w:val="004C6FC1"/>
    <w:rsid w:val="004C72EA"/>
    <w:rsid w:val="004D0800"/>
    <w:rsid w:val="004D0D14"/>
    <w:rsid w:val="004D0DDC"/>
    <w:rsid w:val="004D36B1"/>
    <w:rsid w:val="004D3F54"/>
    <w:rsid w:val="004D6241"/>
    <w:rsid w:val="004D7EBD"/>
    <w:rsid w:val="004E143B"/>
    <w:rsid w:val="004E2680"/>
    <w:rsid w:val="004E28F9"/>
    <w:rsid w:val="004E462E"/>
    <w:rsid w:val="004E4E16"/>
    <w:rsid w:val="004E56DC"/>
    <w:rsid w:val="004E6666"/>
    <w:rsid w:val="004E76F4"/>
    <w:rsid w:val="004F0B4E"/>
    <w:rsid w:val="004F0B6C"/>
    <w:rsid w:val="004F2078"/>
    <w:rsid w:val="004F4DA3"/>
    <w:rsid w:val="004F7C46"/>
    <w:rsid w:val="00506557"/>
    <w:rsid w:val="0050677A"/>
    <w:rsid w:val="005075DA"/>
    <w:rsid w:val="005108D8"/>
    <w:rsid w:val="005116F9"/>
    <w:rsid w:val="00511892"/>
    <w:rsid w:val="005153A7"/>
    <w:rsid w:val="0052111C"/>
    <w:rsid w:val="005219CF"/>
    <w:rsid w:val="00526A2C"/>
    <w:rsid w:val="005305B2"/>
    <w:rsid w:val="00530643"/>
    <w:rsid w:val="00534B59"/>
    <w:rsid w:val="00536759"/>
    <w:rsid w:val="005367A0"/>
    <w:rsid w:val="00537C62"/>
    <w:rsid w:val="00542BCE"/>
    <w:rsid w:val="00546970"/>
    <w:rsid w:val="005519EC"/>
    <w:rsid w:val="00552585"/>
    <w:rsid w:val="00554E19"/>
    <w:rsid w:val="0056121F"/>
    <w:rsid w:val="00571053"/>
    <w:rsid w:val="0057126F"/>
    <w:rsid w:val="00572505"/>
    <w:rsid w:val="00577405"/>
    <w:rsid w:val="00582809"/>
    <w:rsid w:val="0058798C"/>
    <w:rsid w:val="005900FA"/>
    <w:rsid w:val="005935A4"/>
    <w:rsid w:val="00593C92"/>
    <w:rsid w:val="005948C2"/>
    <w:rsid w:val="00595DCA"/>
    <w:rsid w:val="005975B0"/>
    <w:rsid w:val="0059779B"/>
    <w:rsid w:val="005A011C"/>
    <w:rsid w:val="005A209A"/>
    <w:rsid w:val="005A4796"/>
    <w:rsid w:val="005A662D"/>
    <w:rsid w:val="005B021E"/>
    <w:rsid w:val="005B1FE1"/>
    <w:rsid w:val="005B35D7"/>
    <w:rsid w:val="005B392A"/>
    <w:rsid w:val="005B3AA3"/>
    <w:rsid w:val="005B440E"/>
    <w:rsid w:val="005B44FC"/>
    <w:rsid w:val="005B50DB"/>
    <w:rsid w:val="005B6F83"/>
    <w:rsid w:val="005C0A0D"/>
    <w:rsid w:val="005C74FB"/>
    <w:rsid w:val="005D1602"/>
    <w:rsid w:val="005E08E8"/>
    <w:rsid w:val="005E1909"/>
    <w:rsid w:val="005E385F"/>
    <w:rsid w:val="005E3BDB"/>
    <w:rsid w:val="005E5B81"/>
    <w:rsid w:val="005E670F"/>
    <w:rsid w:val="005E681B"/>
    <w:rsid w:val="005F0B13"/>
    <w:rsid w:val="005F1237"/>
    <w:rsid w:val="005F2CB1"/>
    <w:rsid w:val="005F3025"/>
    <w:rsid w:val="005F501E"/>
    <w:rsid w:val="005F618C"/>
    <w:rsid w:val="005F70BD"/>
    <w:rsid w:val="005F7A07"/>
    <w:rsid w:val="005F7E30"/>
    <w:rsid w:val="005F7E8C"/>
    <w:rsid w:val="00600AEC"/>
    <w:rsid w:val="0060283C"/>
    <w:rsid w:val="006039AD"/>
    <w:rsid w:val="00603E6B"/>
    <w:rsid w:val="00604F14"/>
    <w:rsid w:val="006056EA"/>
    <w:rsid w:val="00607430"/>
    <w:rsid w:val="00611B83"/>
    <w:rsid w:val="00613257"/>
    <w:rsid w:val="0061342C"/>
    <w:rsid w:val="00614358"/>
    <w:rsid w:val="006146CE"/>
    <w:rsid w:val="00620A71"/>
    <w:rsid w:val="00620D80"/>
    <w:rsid w:val="006234A6"/>
    <w:rsid w:val="00623A29"/>
    <w:rsid w:val="00630001"/>
    <w:rsid w:val="006311B3"/>
    <w:rsid w:val="0063284C"/>
    <w:rsid w:val="00632BE1"/>
    <w:rsid w:val="00636398"/>
    <w:rsid w:val="006368D3"/>
    <w:rsid w:val="006377EC"/>
    <w:rsid w:val="0064151F"/>
    <w:rsid w:val="00641533"/>
    <w:rsid w:val="0064208D"/>
    <w:rsid w:val="00643475"/>
    <w:rsid w:val="0064396A"/>
    <w:rsid w:val="0064624E"/>
    <w:rsid w:val="00650AB9"/>
    <w:rsid w:val="00655733"/>
    <w:rsid w:val="00655ACD"/>
    <w:rsid w:val="00656A92"/>
    <w:rsid w:val="00656B04"/>
    <w:rsid w:val="00656DDE"/>
    <w:rsid w:val="0066011D"/>
    <w:rsid w:val="00660501"/>
    <w:rsid w:val="006607C0"/>
    <w:rsid w:val="00660879"/>
    <w:rsid w:val="006613A6"/>
    <w:rsid w:val="00662289"/>
    <w:rsid w:val="006627A2"/>
    <w:rsid w:val="006634E6"/>
    <w:rsid w:val="006655EE"/>
    <w:rsid w:val="00666C42"/>
    <w:rsid w:val="00667EE7"/>
    <w:rsid w:val="00670922"/>
    <w:rsid w:val="00670BE1"/>
    <w:rsid w:val="0067114E"/>
    <w:rsid w:val="0067218F"/>
    <w:rsid w:val="00673C62"/>
    <w:rsid w:val="006741F2"/>
    <w:rsid w:val="00674CC3"/>
    <w:rsid w:val="00675C72"/>
    <w:rsid w:val="00676BD2"/>
    <w:rsid w:val="00676D66"/>
    <w:rsid w:val="006771F9"/>
    <w:rsid w:val="006776D7"/>
    <w:rsid w:val="00681003"/>
    <w:rsid w:val="006817C9"/>
    <w:rsid w:val="00681F33"/>
    <w:rsid w:val="00683104"/>
    <w:rsid w:val="00683ECE"/>
    <w:rsid w:val="00685123"/>
    <w:rsid w:val="006864D9"/>
    <w:rsid w:val="00691612"/>
    <w:rsid w:val="00695FC2"/>
    <w:rsid w:val="00696949"/>
    <w:rsid w:val="00697052"/>
    <w:rsid w:val="006A0B10"/>
    <w:rsid w:val="006A46FB"/>
    <w:rsid w:val="006A5D28"/>
    <w:rsid w:val="006A5E28"/>
    <w:rsid w:val="006A697B"/>
    <w:rsid w:val="006A7AFF"/>
    <w:rsid w:val="006B11DD"/>
    <w:rsid w:val="006B1816"/>
    <w:rsid w:val="006B2099"/>
    <w:rsid w:val="006B50CF"/>
    <w:rsid w:val="006B52BE"/>
    <w:rsid w:val="006B5412"/>
    <w:rsid w:val="006C02F0"/>
    <w:rsid w:val="006C03B8"/>
    <w:rsid w:val="006C1DB4"/>
    <w:rsid w:val="006C3EF3"/>
    <w:rsid w:val="006C5EC9"/>
    <w:rsid w:val="006C6059"/>
    <w:rsid w:val="006C7522"/>
    <w:rsid w:val="006D3554"/>
    <w:rsid w:val="006D6F08"/>
    <w:rsid w:val="006E062C"/>
    <w:rsid w:val="006E28B7"/>
    <w:rsid w:val="006E3310"/>
    <w:rsid w:val="006E4E39"/>
    <w:rsid w:val="006E565E"/>
    <w:rsid w:val="006E5F94"/>
    <w:rsid w:val="006E673D"/>
    <w:rsid w:val="006E7D3B"/>
    <w:rsid w:val="006F1B70"/>
    <w:rsid w:val="006F22CA"/>
    <w:rsid w:val="006F341D"/>
    <w:rsid w:val="006F3620"/>
    <w:rsid w:val="006F37B0"/>
    <w:rsid w:val="006F3CDE"/>
    <w:rsid w:val="006F4FDE"/>
    <w:rsid w:val="006F58D4"/>
    <w:rsid w:val="006F5AFE"/>
    <w:rsid w:val="00700A9B"/>
    <w:rsid w:val="0070104C"/>
    <w:rsid w:val="007020A0"/>
    <w:rsid w:val="0070346E"/>
    <w:rsid w:val="00703CA3"/>
    <w:rsid w:val="00704EDB"/>
    <w:rsid w:val="00706101"/>
    <w:rsid w:val="0070619D"/>
    <w:rsid w:val="00707072"/>
    <w:rsid w:val="00707D61"/>
    <w:rsid w:val="00712287"/>
    <w:rsid w:val="00712772"/>
    <w:rsid w:val="00712CF6"/>
    <w:rsid w:val="007130D6"/>
    <w:rsid w:val="00713AEA"/>
    <w:rsid w:val="00713D85"/>
    <w:rsid w:val="00713DF7"/>
    <w:rsid w:val="007148D3"/>
    <w:rsid w:val="00715B9A"/>
    <w:rsid w:val="00726EA6"/>
    <w:rsid w:val="00727208"/>
    <w:rsid w:val="00727680"/>
    <w:rsid w:val="00730CBE"/>
    <w:rsid w:val="007348B1"/>
    <w:rsid w:val="007362A6"/>
    <w:rsid w:val="00736D7D"/>
    <w:rsid w:val="007375F2"/>
    <w:rsid w:val="00740E58"/>
    <w:rsid w:val="00743630"/>
    <w:rsid w:val="007445A0"/>
    <w:rsid w:val="0074524B"/>
    <w:rsid w:val="00747D8B"/>
    <w:rsid w:val="007504C4"/>
    <w:rsid w:val="00751228"/>
    <w:rsid w:val="00752273"/>
    <w:rsid w:val="007571E1"/>
    <w:rsid w:val="007604B2"/>
    <w:rsid w:val="007605F1"/>
    <w:rsid w:val="00761562"/>
    <w:rsid w:val="0076372E"/>
    <w:rsid w:val="007646C0"/>
    <w:rsid w:val="00764B6E"/>
    <w:rsid w:val="00765281"/>
    <w:rsid w:val="0076588A"/>
    <w:rsid w:val="00766BAD"/>
    <w:rsid w:val="00774A47"/>
    <w:rsid w:val="00775299"/>
    <w:rsid w:val="007755F2"/>
    <w:rsid w:val="00776416"/>
    <w:rsid w:val="00776971"/>
    <w:rsid w:val="00776A94"/>
    <w:rsid w:val="007816AA"/>
    <w:rsid w:val="0078177E"/>
    <w:rsid w:val="007818B9"/>
    <w:rsid w:val="0078224B"/>
    <w:rsid w:val="007828D8"/>
    <w:rsid w:val="0078304C"/>
    <w:rsid w:val="00783673"/>
    <w:rsid w:val="007850BE"/>
    <w:rsid w:val="00785490"/>
    <w:rsid w:val="00786142"/>
    <w:rsid w:val="00791F28"/>
    <w:rsid w:val="007925EA"/>
    <w:rsid w:val="00793CD8"/>
    <w:rsid w:val="00795C92"/>
    <w:rsid w:val="00796231"/>
    <w:rsid w:val="007A1CB3"/>
    <w:rsid w:val="007A1CFB"/>
    <w:rsid w:val="007A306F"/>
    <w:rsid w:val="007A43A6"/>
    <w:rsid w:val="007A58A6"/>
    <w:rsid w:val="007A5D82"/>
    <w:rsid w:val="007B3D2D"/>
    <w:rsid w:val="007B50AE"/>
    <w:rsid w:val="007B51DF"/>
    <w:rsid w:val="007B69DC"/>
    <w:rsid w:val="007C05DD"/>
    <w:rsid w:val="007C37AC"/>
    <w:rsid w:val="007C3D18"/>
    <w:rsid w:val="007C60BF"/>
    <w:rsid w:val="007C6A07"/>
    <w:rsid w:val="007C75A1"/>
    <w:rsid w:val="007C77A5"/>
    <w:rsid w:val="007D02E4"/>
    <w:rsid w:val="007D04E5"/>
    <w:rsid w:val="007D4217"/>
    <w:rsid w:val="007D5888"/>
    <w:rsid w:val="007D5901"/>
    <w:rsid w:val="007D69EF"/>
    <w:rsid w:val="007D7526"/>
    <w:rsid w:val="007E4610"/>
    <w:rsid w:val="007E4715"/>
    <w:rsid w:val="007E505B"/>
    <w:rsid w:val="007E5EFF"/>
    <w:rsid w:val="007E7091"/>
    <w:rsid w:val="007E7F7C"/>
    <w:rsid w:val="007F22C6"/>
    <w:rsid w:val="007F6989"/>
    <w:rsid w:val="007F7230"/>
    <w:rsid w:val="0080181C"/>
    <w:rsid w:val="00803FAE"/>
    <w:rsid w:val="0080605F"/>
    <w:rsid w:val="00807786"/>
    <w:rsid w:val="00807D52"/>
    <w:rsid w:val="00810DE3"/>
    <w:rsid w:val="00811FCB"/>
    <w:rsid w:val="008126A5"/>
    <w:rsid w:val="008158D6"/>
    <w:rsid w:val="0081599E"/>
    <w:rsid w:val="00817196"/>
    <w:rsid w:val="00820E6D"/>
    <w:rsid w:val="008235DB"/>
    <w:rsid w:val="00824AB4"/>
    <w:rsid w:val="0082510D"/>
    <w:rsid w:val="00825284"/>
    <w:rsid w:val="00825C42"/>
    <w:rsid w:val="00825D25"/>
    <w:rsid w:val="00827D6F"/>
    <w:rsid w:val="008300EB"/>
    <w:rsid w:val="008322A8"/>
    <w:rsid w:val="008349A8"/>
    <w:rsid w:val="008376AC"/>
    <w:rsid w:val="008412EA"/>
    <w:rsid w:val="00842D74"/>
    <w:rsid w:val="008444E8"/>
    <w:rsid w:val="008444F8"/>
    <w:rsid w:val="00844E80"/>
    <w:rsid w:val="00845754"/>
    <w:rsid w:val="00846FE7"/>
    <w:rsid w:val="00847869"/>
    <w:rsid w:val="00850E63"/>
    <w:rsid w:val="00853FD9"/>
    <w:rsid w:val="00856911"/>
    <w:rsid w:val="0086318D"/>
    <w:rsid w:val="00865BAC"/>
    <w:rsid w:val="008677FD"/>
    <w:rsid w:val="008706D4"/>
    <w:rsid w:val="00870F8A"/>
    <w:rsid w:val="008719A4"/>
    <w:rsid w:val="00871D23"/>
    <w:rsid w:val="00872D15"/>
    <w:rsid w:val="00874312"/>
    <w:rsid w:val="0087437C"/>
    <w:rsid w:val="00875CD7"/>
    <w:rsid w:val="00876B4D"/>
    <w:rsid w:val="00876DD8"/>
    <w:rsid w:val="0087701B"/>
    <w:rsid w:val="00877F18"/>
    <w:rsid w:val="00885BD5"/>
    <w:rsid w:val="00885FD7"/>
    <w:rsid w:val="00892F30"/>
    <w:rsid w:val="00894A88"/>
    <w:rsid w:val="00895386"/>
    <w:rsid w:val="00895EAC"/>
    <w:rsid w:val="008A20D6"/>
    <w:rsid w:val="008A21FF"/>
    <w:rsid w:val="008A2CE2"/>
    <w:rsid w:val="008A30AC"/>
    <w:rsid w:val="008A44B8"/>
    <w:rsid w:val="008A46E5"/>
    <w:rsid w:val="008A51A8"/>
    <w:rsid w:val="008A54C7"/>
    <w:rsid w:val="008A77D8"/>
    <w:rsid w:val="008B0483"/>
    <w:rsid w:val="008B1209"/>
    <w:rsid w:val="008B120C"/>
    <w:rsid w:val="008B51A0"/>
    <w:rsid w:val="008B592A"/>
    <w:rsid w:val="008B7B5C"/>
    <w:rsid w:val="008C0B84"/>
    <w:rsid w:val="008C0C99"/>
    <w:rsid w:val="008C1C91"/>
    <w:rsid w:val="008C2017"/>
    <w:rsid w:val="008C2F6C"/>
    <w:rsid w:val="008C4958"/>
    <w:rsid w:val="008C4BAA"/>
    <w:rsid w:val="008C6AE8"/>
    <w:rsid w:val="008C7573"/>
    <w:rsid w:val="008D1668"/>
    <w:rsid w:val="008D34F1"/>
    <w:rsid w:val="008D39D8"/>
    <w:rsid w:val="008D6D1A"/>
    <w:rsid w:val="008D6D46"/>
    <w:rsid w:val="008E065E"/>
    <w:rsid w:val="008E0927"/>
    <w:rsid w:val="008E1909"/>
    <w:rsid w:val="008E4C7D"/>
    <w:rsid w:val="008E4D7C"/>
    <w:rsid w:val="008E5F44"/>
    <w:rsid w:val="008F159A"/>
    <w:rsid w:val="008F1EAB"/>
    <w:rsid w:val="008F33DC"/>
    <w:rsid w:val="008F477F"/>
    <w:rsid w:val="009000D2"/>
    <w:rsid w:val="00902350"/>
    <w:rsid w:val="0090336B"/>
    <w:rsid w:val="009053AA"/>
    <w:rsid w:val="00906939"/>
    <w:rsid w:val="00910A74"/>
    <w:rsid w:val="00910B7D"/>
    <w:rsid w:val="00911DFB"/>
    <w:rsid w:val="00912F78"/>
    <w:rsid w:val="0091357F"/>
    <w:rsid w:val="009139D9"/>
    <w:rsid w:val="00913EDD"/>
    <w:rsid w:val="00914039"/>
    <w:rsid w:val="00914AD8"/>
    <w:rsid w:val="0091533C"/>
    <w:rsid w:val="00916079"/>
    <w:rsid w:val="00917CE9"/>
    <w:rsid w:val="00920BF2"/>
    <w:rsid w:val="00921D86"/>
    <w:rsid w:val="00922010"/>
    <w:rsid w:val="009305EA"/>
    <w:rsid w:val="00931BD9"/>
    <w:rsid w:val="00932336"/>
    <w:rsid w:val="0093233C"/>
    <w:rsid w:val="009368F3"/>
    <w:rsid w:val="009402F7"/>
    <w:rsid w:val="009410A8"/>
    <w:rsid w:val="00941636"/>
    <w:rsid w:val="00943742"/>
    <w:rsid w:val="00945C05"/>
    <w:rsid w:val="00946945"/>
    <w:rsid w:val="00947713"/>
    <w:rsid w:val="00950DE7"/>
    <w:rsid w:val="00952C3E"/>
    <w:rsid w:val="00953920"/>
    <w:rsid w:val="00953D47"/>
    <w:rsid w:val="00954B04"/>
    <w:rsid w:val="0095681E"/>
    <w:rsid w:val="009572D4"/>
    <w:rsid w:val="00961921"/>
    <w:rsid w:val="0096430A"/>
    <w:rsid w:val="0096554B"/>
    <w:rsid w:val="0096584A"/>
    <w:rsid w:val="00967990"/>
    <w:rsid w:val="00971626"/>
    <w:rsid w:val="00971F08"/>
    <w:rsid w:val="009734F1"/>
    <w:rsid w:val="00975F4A"/>
    <w:rsid w:val="0097603D"/>
    <w:rsid w:val="00976949"/>
    <w:rsid w:val="00980477"/>
    <w:rsid w:val="00982E77"/>
    <w:rsid w:val="00985253"/>
    <w:rsid w:val="009853B3"/>
    <w:rsid w:val="009876B0"/>
    <w:rsid w:val="009879FC"/>
    <w:rsid w:val="00990630"/>
    <w:rsid w:val="00991761"/>
    <w:rsid w:val="0099265B"/>
    <w:rsid w:val="00993169"/>
    <w:rsid w:val="00994B72"/>
    <w:rsid w:val="00994DCA"/>
    <w:rsid w:val="009960EC"/>
    <w:rsid w:val="009970DD"/>
    <w:rsid w:val="009A0D09"/>
    <w:rsid w:val="009A0FBA"/>
    <w:rsid w:val="009A11A5"/>
    <w:rsid w:val="009A1601"/>
    <w:rsid w:val="009A462D"/>
    <w:rsid w:val="009A5B25"/>
    <w:rsid w:val="009A5CBA"/>
    <w:rsid w:val="009A7541"/>
    <w:rsid w:val="009B1F30"/>
    <w:rsid w:val="009B1FF5"/>
    <w:rsid w:val="009B3AC2"/>
    <w:rsid w:val="009B3F2D"/>
    <w:rsid w:val="009B4DF4"/>
    <w:rsid w:val="009B564E"/>
    <w:rsid w:val="009B7E87"/>
    <w:rsid w:val="009C403E"/>
    <w:rsid w:val="009D029B"/>
    <w:rsid w:val="009D4FF0"/>
    <w:rsid w:val="009D703C"/>
    <w:rsid w:val="009D718F"/>
    <w:rsid w:val="009E068F"/>
    <w:rsid w:val="009E14E0"/>
    <w:rsid w:val="009E35DB"/>
    <w:rsid w:val="009E47A3"/>
    <w:rsid w:val="009E7AEF"/>
    <w:rsid w:val="009F08F3"/>
    <w:rsid w:val="009F2C65"/>
    <w:rsid w:val="009F344F"/>
    <w:rsid w:val="00A0099F"/>
    <w:rsid w:val="00A01161"/>
    <w:rsid w:val="00A01CBA"/>
    <w:rsid w:val="00A031D8"/>
    <w:rsid w:val="00A0401C"/>
    <w:rsid w:val="00A048A8"/>
    <w:rsid w:val="00A04F49"/>
    <w:rsid w:val="00A051D2"/>
    <w:rsid w:val="00A05BD3"/>
    <w:rsid w:val="00A072E8"/>
    <w:rsid w:val="00A109A1"/>
    <w:rsid w:val="00A1284B"/>
    <w:rsid w:val="00A13E54"/>
    <w:rsid w:val="00A14179"/>
    <w:rsid w:val="00A17F63"/>
    <w:rsid w:val="00A2193B"/>
    <w:rsid w:val="00A2351A"/>
    <w:rsid w:val="00A24C4A"/>
    <w:rsid w:val="00A264A9"/>
    <w:rsid w:val="00A27785"/>
    <w:rsid w:val="00A30187"/>
    <w:rsid w:val="00A3448A"/>
    <w:rsid w:val="00A36226"/>
    <w:rsid w:val="00A36297"/>
    <w:rsid w:val="00A37400"/>
    <w:rsid w:val="00A41E2B"/>
    <w:rsid w:val="00A45B74"/>
    <w:rsid w:val="00A46150"/>
    <w:rsid w:val="00A52E1D"/>
    <w:rsid w:val="00A55BC4"/>
    <w:rsid w:val="00A61172"/>
    <w:rsid w:val="00A61499"/>
    <w:rsid w:val="00A621D8"/>
    <w:rsid w:val="00A62388"/>
    <w:rsid w:val="00A62A77"/>
    <w:rsid w:val="00A63483"/>
    <w:rsid w:val="00A657D7"/>
    <w:rsid w:val="00A660AC"/>
    <w:rsid w:val="00A67E6C"/>
    <w:rsid w:val="00A71B99"/>
    <w:rsid w:val="00A739D0"/>
    <w:rsid w:val="00A73CF1"/>
    <w:rsid w:val="00A746B4"/>
    <w:rsid w:val="00A761D4"/>
    <w:rsid w:val="00A76593"/>
    <w:rsid w:val="00A77EC4"/>
    <w:rsid w:val="00A81258"/>
    <w:rsid w:val="00A82F83"/>
    <w:rsid w:val="00A838B0"/>
    <w:rsid w:val="00A9219A"/>
    <w:rsid w:val="00A92879"/>
    <w:rsid w:val="00A92BEC"/>
    <w:rsid w:val="00A93EA4"/>
    <w:rsid w:val="00A9442A"/>
    <w:rsid w:val="00A956E3"/>
    <w:rsid w:val="00AA016F"/>
    <w:rsid w:val="00AA1ED6"/>
    <w:rsid w:val="00AA35B9"/>
    <w:rsid w:val="00AA51D6"/>
    <w:rsid w:val="00AB08CE"/>
    <w:rsid w:val="00AB0BC8"/>
    <w:rsid w:val="00AB11CA"/>
    <w:rsid w:val="00AB14D9"/>
    <w:rsid w:val="00AB17B4"/>
    <w:rsid w:val="00AB4AB8"/>
    <w:rsid w:val="00AB655E"/>
    <w:rsid w:val="00AB6AF7"/>
    <w:rsid w:val="00AC007F"/>
    <w:rsid w:val="00AC2ECD"/>
    <w:rsid w:val="00AC3119"/>
    <w:rsid w:val="00AC49FB"/>
    <w:rsid w:val="00AC5A10"/>
    <w:rsid w:val="00AD0642"/>
    <w:rsid w:val="00AD0AA3"/>
    <w:rsid w:val="00AD0BD3"/>
    <w:rsid w:val="00AD1487"/>
    <w:rsid w:val="00AD3F94"/>
    <w:rsid w:val="00AD4A5A"/>
    <w:rsid w:val="00AD7EED"/>
    <w:rsid w:val="00AE032F"/>
    <w:rsid w:val="00AE23D8"/>
    <w:rsid w:val="00AE27AC"/>
    <w:rsid w:val="00AE40E0"/>
    <w:rsid w:val="00AE4DBA"/>
    <w:rsid w:val="00AE4F07"/>
    <w:rsid w:val="00AE5B85"/>
    <w:rsid w:val="00AE63AB"/>
    <w:rsid w:val="00AF0508"/>
    <w:rsid w:val="00AF0B28"/>
    <w:rsid w:val="00AF1C5D"/>
    <w:rsid w:val="00AF1CF1"/>
    <w:rsid w:val="00AF2B22"/>
    <w:rsid w:val="00AF3BF1"/>
    <w:rsid w:val="00AF42D7"/>
    <w:rsid w:val="00AF7B02"/>
    <w:rsid w:val="00B006FE"/>
    <w:rsid w:val="00B007CB"/>
    <w:rsid w:val="00B02AA9"/>
    <w:rsid w:val="00B02FA3"/>
    <w:rsid w:val="00B05084"/>
    <w:rsid w:val="00B101E0"/>
    <w:rsid w:val="00B130C7"/>
    <w:rsid w:val="00B133D4"/>
    <w:rsid w:val="00B157F9"/>
    <w:rsid w:val="00B20256"/>
    <w:rsid w:val="00B20D09"/>
    <w:rsid w:val="00B21270"/>
    <w:rsid w:val="00B21AB2"/>
    <w:rsid w:val="00B239EA"/>
    <w:rsid w:val="00B26318"/>
    <w:rsid w:val="00B2763F"/>
    <w:rsid w:val="00B27AAC"/>
    <w:rsid w:val="00B30929"/>
    <w:rsid w:val="00B372AA"/>
    <w:rsid w:val="00B40445"/>
    <w:rsid w:val="00B41888"/>
    <w:rsid w:val="00B45A52"/>
    <w:rsid w:val="00B46175"/>
    <w:rsid w:val="00B46EBF"/>
    <w:rsid w:val="00B52A61"/>
    <w:rsid w:val="00B6253B"/>
    <w:rsid w:val="00B664C7"/>
    <w:rsid w:val="00B739F6"/>
    <w:rsid w:val="00B770D3"/>
    <w:rsid w:val="00B81A6C"/>
    <w:rsid w:val="00B85DE5"/>
    <w:rsid w:val="00B90F73"/>
    <w:rsid w:val="00B914B1"/>
    <w:rsid w:val="00B93B59"/>
    <w:rsid w:val="00B9406A"/>
    <w:rsid w:val="00B96ED0"/>
    <w:rsid w:val="00BA2280"/>
    <w:rsid w:val="00BA2A08"/>
    <w:rsid w:val="00BA56D2"/>
    <w:rsid w:val="00BA76E0"/>
    <w:rsid w:val="00BB14A4"/>
    <w:rsid w:val="00BB18A0"/>
    <w:rsid w:val="00BB2A25"/>
    <w:rsid w:val="00BB51E9"/>
    <w:rsid w:val="00BB7338"/>
    <w:rsid w:val="00BC0FDC"/>
    <w:rsid w:val="00BC2480"/>
    <w:rsid w:val="00BC3053"/>
    <w:rsid w:val="00BC36C3"/>
    <w:rsid w:val="00BC4D2E"/>
    <w:rsid w:val="00BC6D4A"/>
    <w:rsid w:val="00BC7FAF"/>
    <w:rsid w:val="00BD48AC"/>
    <w:rsid w:val="00BD53A8"/>
    <w:rsid w:val="00BD5E86"/>
    <w:rsid w:val="00BD5F1A"/>
    <w:rsid w:val="00BD6E44"/>
    <w:rsid w:val="00BE1234"/>
    <w:rsid w:val="00BE12E2"/>
    <w:rsid w:val="00BE2FA6"/>
    <w:rsid w:val="00BE333F"/>
    <w:rsid w:val="00BE4608"/>
    <w:rsid w:val="00BE6075"/>
    <w:rsid w:val="00BE7406"/>
    <w:rsid w:val="00BE7603"/>
    <w:rsid w:val="00BF1596"/>
    <w:rsid w:val="00BF3279"/>
    <w:rsid w:val="00BF3C7F"/>
    <w:rsid w:val="00BF472E"/>
    <w:rsid w:val="00BF74C7"/>
    <w:rsid w:val="00C009EF"/>
    <w:rsid w:val="00C00D11"/>
    <w:rsid w:val="00C015F1"/>
    <w:rsid w:val="00C01788"/>
    <w:rsid w:val="00C01F33"/>
    <w:rsid w:val="00C02CC6"/>
    <w:rsid w:val="00C040F7"/>
    <w:rsid w:val="00C044AB"/>
    <w:rsid w:val="00C044DB"/>
    <w:rsid w:val="00C05706"/>
    <w:rsid w:val="00C05DC1"/>
    <w:rsid w:val="00C07377"/>
    <w:rsid w:val="00C10478"/>
    <w:rsid w:val="00C12107"/>
    <w:rsid w:val="00C14D4B"/>
    <w:rsid w:val="00C154BB"/>
    <w:rsid w:val="00C15ABD"/>
    <w:rsid w:val="00C2324C"/>
    <w:rsid w:val="00C23725"/>
    <w:rsid w:val="00C25B40"/>
    <w:rsid w:val="00C279B5"/>
    <w:rsid w:val="00C27C45"/>
    <w:rsid w:val="00C31CF9"/>
    <w:rsid w:val="00C3354C"/>
    <w:rsid w:val="00C3719D"/>
    <w:rsid w:val="00C37F73"/>
    <w:rsid w:val="00C41779"/>
    <w:rsid w:val="00C46BFF"/>
    <w:rsid w:val="00C4717D"/>
    <w:rsid w:val="00C54995"/>
    <w:rsid w:val="00C54D41"/>
    <w:rsid w:val="00C55437"/>
    <w:rsid w:val="00C55790"/>
    <w:rsid w:val="00C60783"/>
    <w:rsid w:val="00C61714"/>
    <w:rsid w:val="00C62BBD"/>
    <w:rsid w:val="00C64672"/>
    <w:rsid w:val="00C66B28"/>
    <w:rsid w:val="00C678F7"/>
    <w:rsid w:val="00C67AA7"/>
    <w:rsid w:val="00C70697"/>
    <w:rsid w:val="00C706E2"/>
    <w:rsid w:val="00C72735"/>
    <w:rsid w:val="00C72EF4"/>
    <w:rsid w:val="00C75D2F"/>
    <w:rsid w:val="00C767BE"/>
    <w:rsid w:val="00C76E3C"/>
    <w:rsid w:val="00C81568"/>
    <w:rsid w:val="00C84670"/>
    <w:rsid w:val="00C87FC5"/>
    <w:rsid w:val="00C9027A"/>
    <w:rsid w:val="00C90494"/>
    <w:rsid w:val="00C9068E"/>
    <w:rsid w:val="00C93C4B"/>
    <w:rsid w:val="00C944AB"/>
    <w:rsid w:val="00C95B40"/>
    <w:rsid w:val="00CA03E4"/>
    <w:rsid w:val="00CA1ED8"/>
    <w:rsid w:val="00CA33F2"/>
    <w:rsid w:val="00CB00AD"/>
    <w:rsid w:val="00CB1F63"/>
    <w:rsid w:val="00CB4738"/>
    <w:rsid w:val="00CB7170"/>
    <w:rsid w:val="00CB799E"/>
    <w:rsid w:val="00CC040E"/>
    <w:rsid w:val="00CC1037"/>
    <w:rsid w:val="00CC111F"/>
    <w:rsid w:val="00CC2011"/>
    <w:rsid w:val="00CC2D57"/>
    <w:rsid w:val="00CC3EA0"/>
    <w:rsid w:val="00CC5240"/>
    <w:rsid w:val="00CC7B45"/>
    <w:rsid w:val="00CD1188"/>
    <w:rsid w:val="00CD2ED1"/>
    <w:rsid w:val="00CD337B"/>
    <w:rsid w:val="00CD6A27"/>
    <w:rsid w:val="00CE0424"/>
    <w:rsid w:val="00CE3B6C"/>
    <w:rsid w:val="00CE4EBA"/>
    <w:rsid w:val="00CE7561"/>
    <w:rsid w:val="00CF1354"/>
    <w:rsid w:val="00CF2618"/>
    <w:rsid w:val="00CF3B1F"/>
    <w:rsid w:val="00CF3BF6"/>
    <w:rsid w:val="00CF625B"/>
    <w:rsid w:val="00CF6555"/>
    <w:rsid w:val="00CF687E"/>
    <w:rsid w:val="00D02520"/>
    <w:rsid w:val="00D0349B"/>
    <w:rsid w:val="00D03E47"/>
    <w:rsid w:val="00D045FC"/>
    <w:rsid w:val="00D10249"/>
    <w:rsid w:val="00D10AD3"/>
    <w:rsid w:val="00D10D23"/>
    <w:rsid w:val="00D115C3"/>
    <w:rsid w:val="00D11897"/>
    <w:rsid w:val="00D13135"/>
    <w:rsid w:val="00D13E4E"/>
    <w:rsid w:val="00D2232E"/>
    <w:rsid w:val="00D2281F"/>
    <w:rsid w:val="00D239A7"/>
    <w:rsid w:val="00D23F47"/>
    <w:rsid w:val="00D34123"/>
    <w:rsid w:val="00D34729"/>
    <w:rsid w:val="00D36E71"/>
    <w:rsid w:val="00D37D87"/>
    <w:rsid w:val="00D40B33"/>
    <w:rsid w:val="00D4131C"/>
    <w:rsid w:val="00D4318F"/>
    <w:rsid w:val="00D438BF"/>
    <w:rsid w:val="00D43E89"/>
    <w:rsid w:val="00D440F8"/>
    <w:rsid w:val="00D513BA"/>
    <w:rsid w:val="00D546FF"/>
    <w:rsid w:val="00D55AD5"/>
    <w:rsid w:val="00D576CA"/>
    <w:rsid w:val="00D5772A"/>
    <w:rsid w:val="00D61AF5"/>
    <w:rsid w:val="00D63714"/>
    <w:rsid w:val="00D648E0"/>
    <w:rsid w:val="00D652B5"/>
    <w:rsid w:val="00D65796"/>
    <w:rsid w:val="00D66155"/>
    <w:rsid w:val="00D708B0"/>
    <w:rsid w:val="00D70E61"/>
    <w:rsid w:val="00D71B92"/>
    <w:rsid w:val="00D757B3"/>
    <w:rsid w:val="00D77407"/>
    <w:rsid w:val="00D77B1D"/>
    <w:rsid w:val="00D8021F"/>
    <w:rsid w:val="00D80383"/>
    <w:rsid w:val="00D812AB"/>
    <w:rsid w:val="00D82105"/>
    <w:rsid w:val="00D821CE"/>
    <w:rsid w:val="00D823C6"/>
    <w:rsid w:val="00D85BD2"/>
    <w:rsid w:val="00D863C1"/>
    <w:rsid w:val="00D86CA3"/>
    <w:rsid w:val="00D871CE"/>
    <w:rsid w:val="00D87D95"/>
    <w:rsid w:val="00D90658"/>
    <w:rsid w:val="00D9196D"/>
    <w:rsid w:val="00D92982"/>
    <w:rsid w:val="00D9453C"/>
    <w:rsid w:val="00D97B81"/>
    <w:rsid w:val="00DA17DA"/>
    <w:rsid w:val="00DA1B30"/>
    <w:rsid w:val="00DA1E60"/>
    <w:rsid w:val="00DA2C23"/>
    <w:rsid w:val="00DA305E"/>
    <w:rsid w:val="00DA5417"/>
    <w:rsid w:val="00DA56E8"/>
    <w:rsid w:val="00DB056A"/>
    <w:rsid w:val="00DB0A9F"/>
    <w:rsid w:val="00DB3185"/>
    <w:rsid w:val="00DB377D"/>
    <w:rsid w:val="00DC0C42"/>
    <w:rsid w:val="00DC0F09"/>
    <w:rsid w:val="00DC2D36"/>
    <w:rsid w:val="00DC30F2"/>
    <w:rsid w:val="00DC53EF"/>
    <w:rsid w:val="00DC641C"/>
    <w:rsid w:val="00DD184D"/>
    <w:rsid w:val="00DD4764"/>
    <w:rsid w:val="00DE27B0"/>
    <w:rsid w:val="00DE3D33"/>
    <w:rsid w:val="00DE5608"/>
    <w:rsid w:val="00DE58D0"/>
    <w:rsid w:val="00DE654F"/>
    <w:rsid w:val="00DF0B6E"/>
    <w:rsid w:val="00DF15E0"/>
    <w:rsid w:val="00DF37A0"/>
    <w:rsid w:val="00DF3C2A"/>
    <w:rsid w:val="00DF600C"/>
    <w:rsid w:val="00DF7192"/>
    <w:rsid w:val="00E02DD1"/>
    <w:rsid w:val="00E0393B"/>
    <w:rsid w:val="00E05E0C"/>
    <w:rsid w:val="00E06CA4"/>
    <w:rsid w:val="00E110E7"/>
    <w:rsid w:val="00E113AA"/>
    <w:rsid w:val="00E116E5"/>
    <w:rsid w:val="00E11B20"/>
    <w:rsid w:val="00E17FA2"/>
    <w:rsid w:val="00E21AC1"/>
    <w:rsid w:val="00E22330"/>
    <w:rsid w:val="00E26371"/>
    <w:rsid w:val="00E30B5A"/>
    <w:rsid w:val="00E3123D"/>
    <w:rsid w:val="00E31461"/>
    <w:rsid w:val="00E31D43"/>
    <w:rsid w:val="00E32608"/>
    <w:rsid w:val="00E34188"/>
    <w:rsid w:val="00E34B6E"/>
    <w:rsid w:val="00E35559"/>
    <w:rsid w:val="00E3581C"/>
    <w:rsid w:val="00E35C14"/>
    <w:rsid w:val="00E3723A"/>
    <w:rsid w:val="00E37824"/>
    <w:rsid w:val="00E37860"/>
    <w:rsid w:val="00E4209D"/>
    <w:rsid w:val="00E422D1"/>
    <w:rsid w:val="00E434B5"/>
    <w:rsid w:val="00E43D91"/>
    <w:rsid w:val="00E446F1"/>
    <w:rsid w:val="00E448FB"/>
    <w:rsid w:val="00E46886"/>
    <w:rsid w:val="00E47AEF"/>
    <w:rsid w:val="00E5321C"/>
    <w:rsid w:val="00E53B75"/>
    <w:rsid w:val="00E54E3B"/>
    <w:rsid w:val="00E57565"/>
    <w:rsid w:val="00E61D41"/>
    <w:rsid w:val="00E63838"/>
    <w:rsid w:val="00E64434"/>
    <w:rsid w:val="00E64582"/>
    <w:rsid w:val="00E64EE6"/>
    <w:rsid w:val="00E676F4"/>
    <w:rsid w:val="00E67C51"/>
    <w:rsid w:val="00E67D92"/>
    <w:rsid w:val="00E71B1C"/>
    <w:rsid w:val="00E72EFC"/>
    <w:rsid w:val="00E7418E"/>
    <w:rsid w:val="00E7443B"/>
    <w:rsid w:val="00E758EC"/>
    <w:rsid w:val="00E75BCB"/>
    <w:rsid w:val="00E77EA0"/>
    <w:rsid w:val="00E80BFF"/>
    <w:rsid w:val="00E8234C"/>
    <w:rsid w:val="00E83AA9"/>
    <w:rsid w:val="00E856A0"/>
    <w:rsid w:val="00E85928"/>
    <w:rsid w:val="00E87822"/>
    <w:rsid w:val="00E90395"/>
    <w:rsid w:val="00E90E49"/>
    <w:rsid w:val="00E917F9"/>
    <w:rsid w:val="00E9291C"/>
    <w:rsid w:val="00E93FFE"/>
    <w:rsid w:val="00E94341"/>
    <w:rsid w:val="00E94F8A"/>
    <w:rsid w:val="00E96B26"/>
    <w:rsid w:val="00EA344E"/>
    <w:rsid w:val="00EA6979"/>
    <w:rsid w:val="00EA7A41"/>
    <w:rsid w:val="00EB077B"/>
    <w:rsid w:val="00EB2AD9"/>
    <w:rsid w:val="00EB4557"/>
    <w:rsid w:val="00EB4EA2"/>
    <w:rsid w:val="00EB50BE"/>
    <w:rsid w:val="00EB548A"/>
    <w:rsid w:val="00EB6109"/>
    <w:rsid w:val="00EC268A"/>
    <w:rsid w:val="00EC27C6"/>
    <w:rsid w:val="00EC4207"/>
    <w:rsid w:val="00EC5653"/>
    <w:rsid w:val="00EC71CE"/>
    <w:rsid w:val="00ED08A9"/>
    <w:rsid w:val="00ED1006"/>
    <w:rsid w:val="00ED2DA8"/>
    <w:rsid w:val="00ED344C"/>
    <w:rsid w:val="00ED46E9"/>
    <w:rsid w:val="00ED5A72"/>
    <w:rsid w:val="00EF18FE"/>
    <w:rsid w:val="00EF422C"/>
    <w:rsid w:val="00EF456C"/>
    <w:rsid w:val="00EF5787"/>
    <w:rsid w:val="00EF60D0"/>
    <w:rsid w:val="00EF705B"/>
    <w:rsid w:val="00EF718B"/>
    <w:rsid w:val="00F005EB"/>
    <w:rsid w:val="00F0528D"/>
    <w:rsid w:val="00F05B7F"/>
    <w:rsid w:val="00F06C67"/>
    <w:rsid w:val="00F06DFD"/>
    <w:rsid w:val="00F06F1F"/>
    <w:rsid w:val="00F071D1"/>
    <w:rsid w:val="00F07533"/>
    <w:rsid w:val="00F10629"/>
    <w:rsid w:val="00F15FA5"/>
    <w:rsid w:val="00F16CDF"/>
    <w:rsid w:val="00F209B7"/>
    <w:rsid w:val="00F20BE2"/>
    <w:rsid w:val="00F2376F"/>
    <w:rsid w:val="00F243D8"/>
    <w:rsid w:val="00F30099"/>
    <w:rsid w:val="00F30828"/>
    <w:rsid w:val="00F313D6"/>
    <w:rsid w:val="00F40235"/>
    <w:rsid w:val="00F40F0C"/>
    <w:rsid w:val="00F43283"/>
    <w:rsid w:val="00F47239"/>
    <w:rsid w:val="00F4766C"/>
    <w:rsid w:val="00F5060E"/>
    <w:rsid w:val="00F507D1"/>
    <w:rsid w:val="00F50950"/>
    <w:rsid w:val="00F519CE"/>
    <w:rsid w:val="00F51ADA"/>
    <w:rsid w:val="00F51BBB"/>
    <w:rsid w:val="00F532F9"/>
    <w:rsid w:val="00F54346"/>
    <w:rsid w:val="00F607C5"/>
    <w:rsid w:val="00F60DEA"/>
    <w:rsid w:val="00F6302A"/>
    <w:rsid w:val="00F638CA"/>
    <w:rsid w:val="00F63EE5"/>
    <w:rsid w:val="00F6453C"/>
    <w:rsid w:val="00F64C2B"/>
    <w:rsid w:val="00F651BE"/>
    <w:rsid w:val="00F67F53"/>
    <w:rsid w:val="00F703BE"/>
    <w:rsid w:val="00F70D52"/>
    <w:rsid w:val="00F71F69"/>
    <w:rsid w:val="00F72AFA"/>
    <w:rsid w:val="00F72B72"/>
    <w:rsid w:val="00F72B7D"/>
    <w:rsid w:val="00F74BB9"/>
    <w:rsid w:val="00F75496"/>
    <w:rsid w:val="00F75582"/>
    <w:rsid w:val="00F76EFA"/>
    <w:rsid w:val="00F77ED4"/>
    <w:rsid w:val="00F804BE"/>
    <w:rsid w:val="00F817CE"/>
    <w:rsid w:val="00F8456C"/>
    <w:rsid w:val="00F84573"/>
    <w:rsid w:val="00F84A87"/>
    <w:rsid w:val="00F859D8"/>
    <w:rsid w:val="00F868F5"/>
    <w:rsid w:val="00F86F2E"/>
    <w:rsid w:val="00F9056A"/>
    <w:rsid w:val="00F90F8D"/>
    <w:rsid w:val="00F912EC"/>
    <w:rsid w:val="00F92782"/>
    <w:rsid w:val="00F93AA9"/>
    <w:rsid w:val="00F95C45"/>
    <w:rsid w:val="00F96985"/>
    <w:rsid w:val="00F97838"/>
    <w:rsid w:val="00F97E8A"/>
    <w:rsid w:val="00FA169D"/>
    <w:rsid w:val="00FA2BB3"/>
    <w:rsid w:val="00FA446D"/>
    <w:rsid w:val="00FA6713"/>
    <w:rsid w:val="00FB352F"/>
    <w:rsid w:val="00FB4C80"/>
    <w:rsid w:val="00FB6A50"/>
    <w:rsid w:val="00FB6A6A"/>
    <w:rsid w:val="00FC1206"/>
    <w:rsid w:val="00FC469B"/>
    <w:rsid w:val="00FC6AB2"/>
    <w:rsid w:val="00FC7429"/>
    <w:rsid w:val="00FD07F6"/>
    <w:rsid w:val="00FD1BE3"/>
    <w:rsid w:val="00FD1EC8"/>
    <w:rsid w:val="00FD47ED"/>
    <w:rsid w:val="00FD4C23"/>
    <w:rsid w:val="00FD74DB"/>
    <w:rsid w:val="00FD7660"/>
    <w:rsid w:val="00FE0655"/>
    <w:rsid w:val="00FE08D3"/>
    <w:rsid w:val="00FE2365"/>
    <w:rsid w:val="00FE37D7"/>
    <w:rsid w:val="00FE4C7B"/>
    <w:rsid w:val="00FE7336"/>
    <w:rsid w:val="00FE787C"/>
    <w:rsid w:val="00FE7A64"/>
    <w:rsid w:val="00FF3D8E"/>
    <w:rsid w:val="00FF45A5"/>
    <w:rsid w:val="00FF5084"/>
    <w:rsid w:val="00FF519D"/>
    <w:rsid w:val="00FF5910"/>
    <w:rsid w:val="00FF5C91"/>
    <w:rsid w:val="00FF7C4E"/>
    <w:rsid w:val="03DE5A5A"/>
    <w:rsid w:val="05571209"/>
    <w:rsid w:val="072A4F5E"/>
    <w:rsid w:val="0BE31DC5"/>
    <w:rsid w:val="14EB15BB"/>
    <w:rsid w:val="1576056E"/>
    <w:rsid w:val="17140190"/>
    <w:rsid w:val="1DDE4C16"/>
    <w:rsid w:val="207E39C8"/>
    <w:rsid w:val="2198172C"/>
    <w:rsid w:val="26F20FB9"/>
    <w:rsid w:val="2A643007"/>
    <w:rsid w:val="2B485D59"/>
    <w:rsid w:val="2DB4384D"/>
    <w:rsid w:val="31C60EC8"/>
    <w:rsid w:val="326F410D"/>
    <w:rsid w:val="32735D0B"/>
    <w:rsid w:val="36CB7FCD"/>
    <w:rsid w:val="37B0779C"/>
    <w:rsid w:val="39B9696C"/>
    <w:rsid w:val="3FE214D7"/>
    <w:rsid w:val="44F54B70"/>
    <w:rsid w:val="4887226B"/>
    <w:rsid w:val="58185D25"/>
    <w:rsid w:val="58470DC8"/>
    <w:rsid w:val="5A564AFD"/>
    <w:rsid w:val="5EAF0057"/>
    <w:rsid w:val="5FE4635F"/>
    <w:rsid w:val="60C6661F"/>
    <w:rsid w:val="610D5DC9"/>
    <w:rsid w:val="61643E3D"/>
    <w:rsid w:val="636362F8"/>
    <w:rsid w:val="68F85452"/>
    <w:rsid w:val="6AF80540"/>
    <w:rsid w:val="6CAE491B"/>
    <w:rsid w:val="6E884CEA"/>
    <w:rsid w:val="7CBB66E3"/>
    <w:rsid w:val="7FF5507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Malgun Gothic" w:cs="Times New Roman"/>
      <w:lang w:val="en-GB" w:eastAsia="zh-CN" w:bidi="ar-SA"/>
    </w:rPr>
  </w:style>
  <w:style w:type="paragraph" w:styleId="2">
    <w:name w:val="heading 1"/>
    <w:next w:val="1"/>
    <w:link w:val="99"/>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GB" w:eastAsia="ko-KR" w:bidi="ar-SA"/>
    </w:rPr>
  </w:style>
  <w:style w:type="paragraph" w:styleId="3">
    <w:name w:val="heading 2"/>
    <w:basedOn w:val="2"/>
    <w:next w:val="1"/>
    <w:qFormat/>
    <w:uiPriority w:val="0"/>
    <w:pPr>
      <w:numPr>
        <w:ilvl w:val="1"/>
        <w:numId w:val="1"/>
      </w:numPr>
      <w:pBdr>
        <w:top w:val="none" w:color="auto" w:sz="0" w:space="0"/>
      </w:pBdr>
      <w:spacing w:before="180"/>
      <w:outlineLvl w:val="1"/>
    </w:pPr>
    <w:rPr>
      <w:sz w:val="32"/>
      <w:szCs w:val="32"/>
    </w:rPr>
  </w:style>
  <w:style w:type="paragraph" w:styleId="4">
    <w:name w:val="heading 3"/>
    <w:basedOn w:val="3"/>
    <w:next w:val="1"/>
    <w:qFormat/>
    <w:uiPriority w:val="0"/>
    <w:pPr>
      <w:numPr>
        <w:ilvl w:val="2"/>
        <w:numId w:val="1"/>
      </w:numPr>
      <w:spacing w:before="120"/>
      <w:outlineLvl w:val="2"/>
    </w:pPr>
    <w:rPr>
      <w:sz w:val="28"/>
      <w:szCs w:val="28"/>
    </w:rPr>
  </w:style>
  <w:style w:type="paragraph" w:styleId="5">
    <w:name w:val="heading 4"/>
    <w:basedOn w:val="4"/>
    <w:next w:val="1"/>
    <w:qFormat/>
    <w:uiPriority w:val="0"/>
    <w:pPr>
      <w:numPr>
        <w:ilvl w:val="3"/>
        <w:numId w:val="1"/>
      </w:numPr>
      <w:outlineLvl w:val="3"/>
    </w:pPr>
    <w:rPr>
      <w:sz w:val="24"/>
      <w:szCs w:val="24"/>
    </w:rPr>
  </w:style>
  <w:style w:type="paragraph" w:styleId="6">
    <w:name w:val="heading 5"/>
    <w:basedOn w:val="5"/>
    <w:next w:val="1"/>
    <w:qFormat/>
    <w:uiPriority w:val="0"/>
    <w:pPr>
      <w:numPr>
        <w:ilvl w:val="4"/>
        <w:numId w:val="1"/>
      </w:numPr>
      <w:outlineLvl w:val="4"/>
    </w:pPr>
    <w:rPr>
      <w:sz w:val="22"/>
      <w:szCs w:val="22"/>
    </w:rPr>
  </w:style>
  <w:style w:type="paragraph" w:styleId="7">
    <w:name w:val="heading 6"/>
    <w:basedOn w:val="1"/>
    <w:next w:val="1"/>
    <w:qFormat/>
    <w:uiPriority w:val="0"/>
    <w:pPr>
      <w:keepNext/>
      <w:keepLines/>
      <w:numPr>
        <w:ilvl w:val="5"/>
        <w:numId w:val="1"/>
      </w:numPr>
      <w:spacing w:before="120"/>
      <w:outlineLvl w:val="5"/>
    </w:pPr>
    <w:rPr>
      <w:rFonts w:cs="Arial"/>
    </w:rPr>
  </w:style>
  <w:style w:type="paragraph" w:styleId="8">
    <w:name w:val="heading 7"/>
    <w:basedOn w:val="1"/>
    <w:next w:val="1"/>
    <w:qFormat/>
    <w:uiPriority w:val="0"/>
    <w:pPr>
      <w:keepNext/>
      <w:keepLines/>
      <w:numPr>
        <w:ilvl w:val="6"/>
        <w:numId w:val="1"/>
      </w:numPr>
      <w:spacing w:before="120"/>
      <w:outlineLvl w:val="6"/>
    </w:pPr>
    <w:rPr>
      <w:rFonts w:cs="Arial"/>
    </w:rPr>
  </w:style>
  <w:style w:type="paragraph" w:styleId="9">
    <w:name w:val="heading 8"/>
    <w:basedOn w:val="8"/>
    <w:next w:val="1"/>
    <w:qFormat/>
    <w:uiPriority w:val="0"/>
    <w:pPr>
      <w:numPr>
        <w:ilvl w:val="7"/>
        <w:numId w:val="1"/>
      </w:numPr>
      <w:outlineLvl w:val="7"/>
    </w:pPr>
  </w:style>
  <w:style w:type="paragraph" w:styleId="10">
    <w:name w:val="heading 9"/>
    <w:basedOn w:val="9"/>
    <w:next w:val="1"/>
    <w:qFormat/>
    <w:uiPriority w:val="0"/>
    <w:pPr>
      <w:numPr>
        <w:ilvl w:val="8"/>
        <w:numId w:val="1"/>
      </w:numPr>
      <w:outlineLvl w:val="8"/>
    </w:pPr>
  </w:style>
  <w:style w:type="character" w:default="1" w:styleId="46">
    <w:name w:val="Default Paragraph Font"/>
    <w:unhideWhenUsed/>
    <w:qFormat/>
    <w:uiPriority w:val="1"/>
  </w:style>
  <w:style w:type="table" w:default="1" w:styleId="44">
    <w:name w:val="Normal Table"/>
    <w:unhideWhenUsed/>
    <w:qFormat/>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rPr>
    <w:tblPr>
      <w:tblLayout w:type="fixed"/>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keepNext w:val="0"/>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Malgun Gothic"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ilvl w:val="0"/>
        <w:numId w:val="2"/>
      </w:numPr>
      <w:tabs>
        <w:tab w:val="left" w:pos="510"/>
        <w:tab w:val="left" w:pos="794"/>
        <w:tab w:val="left" w:pos="1077"/>
      </w:tabs>
    </w:pPr>
  </w:style>
  <w:style w:type="paragraph" w:styleId="24">
    <w:name w:val="List Bullet 3"/>
    <w:basedOn w:val="25"/>
    <w:qFormat/>
    <w:uiPriority w:val="0"/>
    <w:pPr>
      <w:numPr>
        <w:ilvl w:val="0"/>
        <w:numId w:val="3"/>
      </w:numPr>
      <w:tabs>
        <w:tab w:val="left" w:pos="510"/>
        <w:tab w:val="left" w:pos="794"/>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8"/>
    <w:qFormat/>
    <w:uiPriority w:val="0"/>
    <w:rPr>
      <w:rFonts w:cs="Times New Roman"/>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3"/>
    <w:qFormat/>
    <w:uiPriority w:val="0"/>
    <w:pPr>
      <w:numPr>
        <w:ilvl w:val="0"/>
        <w:numId w:val="6"/>
      </w:numPr>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qFormat/>
    <w:uiPriority w:val="0"/>
    <w:pPr>
      <w:widowControl w:val="0"/>
      <w:overflowPunct w:val="0"/>
      <w:autoSpaceDE w:val="0"/>
      <w:autoSpaceDN w:val="0"/>
      <w:adjustRightInd w:val="0"/>
      <w:textAlignment w:val="baseline"/>
    </w:pPr>
    <w:rPr>
      <w:rFonts w:ascii="Arial" w:hAnsi="Arial" w:eastAsia="Malgun Gothic" w:cs="Arial"/>
      <w:b/>
      <w:bCs/>
      <w:sz w:val="18"/>
      <w:szCs w:val="18"/>
      <w:lang w:val="en-US" w:eastAsia="zh-CN" w:bidi="ar-SA"/>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47">
    <w:name w:val="page number"/>
    <w:basedOn w:val="46"/>
    <w:semiHidden/>
    <w:qFormat/>
    <w:uiPriority w:val="0"/>
  </w:style>
  <w:style w:type="character" w:styleId="48">
    <w:name w:val="FollowedHyperlink"/>
    <w:semiHidden/>
    <w:qFormat/>
    <w:uiPriority w:val="0"/>
    <w:rPr>
      <w:color w:val="FF0000"/>
      <w:u w:val="single"/>
    </w:rPr>
  </w:style>
  <w:style w:type="character" w:styleId="49">
    <w:name w:val="Hyperlink"/>
    <w:qFormat/>
    <w:uiPriority w:val="99"/>
    <w:rPr>
      <w:color w:val="0000FF"/>
      <w:u w:val="single"/>
      <w:lang w:val="en-GB"/>
    </w:rPr>
  </w:style>
  <w:style w:type="character" w:styleId="50">
    <w:name w:val="annotation reference"/>
    <w:semiHidden/>
    <w:qFormat/>
    <w:uiPriority w:val="0"/>
    <w:rPr>
      <w:sz w:val="16"/>
      <w:szCs w:val="16"/>
    </w:rPr>
  </w:style>
  <w:style w:type="character" w:styleId="51">
    <w:name w:val="footnote reference"/>
    <w:semiHidden/>
    <w:qFormat/>
    <w:uiPriority w:val="0"/>
    <w:rPr>
      <w:b/>
      <w:bCs/>
      <w:position w:val="6"/>
      <w:sz w:val="16"/>
      <w:szCs w:val="16"/>
    </w:rPr>
  </w:style>
  <w:style w:type="paragraph" w:customStyle="1" w:styleId="52">
    <w:name w:val="ZTD"/>
    <w:basedOn w:val="53"/>
    <w:qFormat/>
    <w:uiPriority w:val="0"/>
    <w:pPr>
      <w:framePr w:hRule="auto" w:y="852"/>
    </w:pPr>
    <w:rPr>
      <w:i w:val="0"/>
      <w:sz w:val="40"/>
    </w:rPr>
  </w:style>
  <w:style w:type="paragraph" w:customStyle="1" w:styleId="5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US" w:eastAsia="en-US" w:bidi="ar-SA"/>
    </w:rPr>
  </w:style>
  <w:style w:type="paragraph" w:customStyle="1" w:styleId="54">
    <w:name w:val="EX"/>
    <w:basedOn w:val="1"/>
    <w:qFormat/>
    <w:uiPriority w:val="0"/>
    <w:pPr>
      <w:keepLines/>
      <w:spacing w:after="180"/>
      <w:ind w:left="1702" w:hanging="1418"/>
      <w:jc w:val="left"/>
    </w:pPr>
    <w:rPr>
      <w:lang w:eastAsia="en-US"/>
    </w:rPr>
  </w:style>
  <w:style w:type="paragraph" w:customStyle="1" w:styleId="55">
    <w:name w:val="Doc-text2"/>
    <w:basedOn w:val="1"/>
    <w:link w:val="91"/>
    <w:qFormat/>
    <w:uiPriority w:val="0"/>
    <w:pPr>
      <w:tabs>
        <w:tab w:val="left" w:pos="1622"/>
      </w:tabs>
      <w:overflowPunct/>
      <w:autoSpaceDE/>
      <w:autoSpaceDN/>
      <w:adjustRightInd/>
      <w:spacing w:after="0"/>
      <w:ind w:left="1622" w:hanging="363"/>
      <w:jc w:val="left"/>
      <w:textAlignment w:val="auto"/>
    </w:pPr>
    <w:rPr>
      <w:rFonts w:eastAsia="MS Mincho" w:cs="Times New Roman"/>
      <w:szCs w:val="24"/>
      <w:lang w:eastAsia="en-GB"/>
    </w:rPr>
  </w:style>
  <w:style w:type="paragraph" w:customStyle="1" w:styleId="56">
    <w:name w:val="B4"/>
    <w:basedOn w:val="38"/>
    <w:qFormat/>
    <w:uiPriority w:val="0"/>
    <w:pPr>
      <w:spacing w:after="180"/>
      <w:jc w:val="left"/>
    </w:pPr>
    <w:rPr>
      <w:lang w:eastAsia="en-US"/>
    </w:rPr>
  </w:style>
  <w:style w:type="paragraph" w:customStyle="1" w:styleId="57">
    <w:name w:val="FP"/>
    <w:basedOn w:val="1"/>
    <w:qFormat/>
    <w:uiPriority w:val="0"/>
    <w:pPr>
      <w:spacing w:after="0"/>
      <w:jc w:val="left"/>
    </w:pPr>
    <w:rPr>
      <w:lang w:eastAsia="en-US"/>
    </w:rPr>
  </w:style>
  <w:style w:type="paragraph" w:customStyle="1" w:styleId="58">
    <w:name w:val="TAN"/>
    <w:basedOn w:val="59"/>
    <w:qFormat/>
    <w:uiPriority w:val="0"/>
    <w:pPr>
      <w:ind w:left="851" w:hanging="851"/>
    </w:pPr>
  </w:style>
  <w:style w:type="paragraph" w:customStyle="1" w:styleId="59">
    <w:name w:val="TAL"/>
    <w:basedOn w:val="1"/>
    <w:qFormat/>
    <w:uiPriority w:val="0"/>
    <w:pPr>
      <w:keepNext/>
      <w:keepLines/>
      <w:spacing w:after="0"/>
      <w:jc w:val="left"/>
    </w:pPr>
    <w:rPr>
      <w:sz w:val="18"/>
      <w:lang w:eastAsia="en-US"/>
    </w:rPr>
  </w:style>
  <w:style w:type="paragraph" w:customStyle="1" w:styleId="60">
    <w:name w:val="EW"/>
    <w:basedOn w:val="54"/>
    <w:qFormat/>
    <w:uiPriority w:val="0"/>
    <w:pPr>
      <w:spacing w:after="0"/>
    </w:pPr>
  </w:style>
  <w:style w:type="paragraph" w:customStyle="1" w:styleId="61">
    <w:name w:val="B5"/>
    <w:basedOn w:val="37"/>
    <w:qFormat/>
    <w:uiPriority w:val="0"/>
    <w:pPr>
      <w:spacing w:after="180"/>
      <w:jc w:val="left"/>
    </w:pPr>
    <w:rPr>
      <w:lang w:eastAsia="en-US"/>
    </w:rPr>
  </w:style>
  <w:style w:type="paragraph" w:customStyle="1" w:styleId="62">
    <w:name w:val="EQ"/>
    <w:basedOn w:val="1"/>
    <w:next w:val="1"/>
    <w:qFormat/>
    <w:uiPriority w:val="0"/>
    <w:pPr>
      <w:keepLines/>
      <w:tabs>
        <w:tab w:val="center" w:pos="4536"/>
        <w:tab w:val="right" w:pos="9072"/>
      </w:tabs>
      <w:spacing w:after="180"/>
      <w:jc w:val="left"/>
    </w:pPr>
    <w:rPr>
      <w:lang w:eastAsia="en-US"/>
    </w:rPr>
  </w:style>
  <w:style w:type="paragraph" w:customStyle="1" w:styleId="63">
    <w:name w:val="Figure"/>
    <w:basedOn w:val="1"/>
    <w:next w:val="28"/>
    <w:qFormat/>
    <w:uiPriority w:val="0"/>
    <w:pPr>
      <w:keepNext/>
      <w:keepLines/>
      <w:spacing w:before="180"/>
      <w:jc w:val="center"/>
    </w:pPr>
  </w:style>
  <w:style w:type="paragraph" w:customStyle="1" w:styleId="64">
    <w:name w:val="NO"/>
    <w:basedOn w:val="1"/>
    <w:link w:val="100"/>
    <w:qFormat/>
    <w:uiPriority w:val="0"/>
    <w:pPr>
      <w:keepLines/>
      <w:spacing w:after="180"/>
      <w:ind w:left="1135" w:hanging="851"/>
      <w:jc w:val="left"/>
    </w:pPr>
    <w:rPr>
      <w:rFonts w:ascii="Times New Roman" w:hAnsi="Times New Roman" w:eastAsia="Times New Roman" w:cs="Times New Roman"/>
    </w:rPr>
  </w:style>
  <w:style w:type="paragraph" w:customStyle="1" w:styleId="65">
    <w:name w:val="Doc-title"/>
    <w:basedOn w:val="1"/>
    <w:next w:val="55"/>
    <w:link w:val="96"/>
    <w:qFormat/>
    <w:uiPriority w:val="0"/>
    <w:pPr>
      <w:overflowPunct/>
      <w:autoSpaceDE/>
      <w:autoSpaceDN/>
      <w:adjustRightInd/>
      <w:spacing w:before="60" w:after="0"/>
      <w:ind w:left="1259" w:hanging="1259"/>
      <w:jc w:val="left"/>
      <w:textAlignment w:val="auto"/>
    </w:pPr>
    <w:rPr>
      <w:rFonts w:eastAsia="MS Mincho" w:cs="Times New Roman"/>
      <w:szCs w:val="24"/>
      <w:lang w:eastAsia="en-GB"/>
    </w:rPr>
  </w:style>
  <w:style w:type="paragraph" w:customStyle="1" w:styleId="66">
    <w:name w:val="B3"/>
    <w:basedOn w:val="11"/>
    <w:qFormat/>
    <w:uiPriority w:val="0"/>
    <w:pPr>
      <w:spacing w:after="180"/>
      <w:jc w:val="left"/>
    </w:pPr>
    <w:rPr>
      <w:lang w:eastAsia="en-US"/>
    </w:rPr>
  </w:style>
  <w:style w:type="paragraph" w:customStyle="1" w:styleId="67">
    <w:name w:val="彩色列表 - 着色 11"/>
    <w:basedOn w:val="1"/>
    <w:qFormat/>
    <w:uiPriority w:val="34"/>
    <w:pPr>
      <w:ind w:left="720"/>
      <w:contextualSpacing/>
    </w:pPr>
  </w:style>
  <w:style w:type="paragraph" w:customStyle="1" w:styleId="68">
    <w:name w:val="B2"/>
    <w:basedOn w:val="12"/>
    <w:link w:val="94"/>
    <w:qFormat/>
    <w:uiPriority w:val="0"/>
    <w:pPr>
      <w:spacing w:after="180"/>
      <w:jc w:val="left"/>
    </w:pPr>
    <w:rPr>
      <w:rFonts w:cs="Times New Roman"/>
      <w:lang w:eastAsia="en-US"/>
    </w:rPr>
  </w:style>
  <w:style w:type="paragraph" w:customStyle="1" w:styleId="69">
    <w:name w:val="Reference"/>
    <w:basedOn w:val="1"/>
    <w:qFormat/>
    <w:uiPriority w:val="0"/>
    <w:pPr>
      <w:numPr>
        <w:ilvl w:val="0"/>
        <w:numId w:val="7"/>
      </w:numPr>
    </w:pPr>
  </w:style>
  <w:style w:type="paragraph" w:customStyle="1" w:styleId="70">
    <w:name w:val="B1"/>
    <w:basedOn w:val="13"/>
    <w:link w:val="92"/>
    <w:qFormat/>
    <w:uiPriority w:val="0"/>
    <w:pPr>
      <w:spacing w:after="180"/>
      <w:jc w:val="left"/>
    </w:pPr>
    <w:rPr>
      <w:rFonts w:cs="Times New Roman"/>
      <w:lang w:eastAsia="en-US"/>
    </w:rPr>
  </w:style>
  <w:style w:type="paragraph" w:customStyle="1" w:styleId="71">
    <w:name w:val="Editor's Note"/>
    <w:basedOn w:val="1"/>
    <w:link w:val="101"/>
    <w:qFormat/>
    <w:uiPriority w:val="0"/>
    <w:pPr>
      <w:keepLines/>
      <w:spacing w:after="180"/>
      <w:ind w:left="1135" w:hanging="851"/>
      <w:jc w:val="left"/>
    </w:pPr>
    <w:rPr>
      <w:color w:val="FF0000"/>
      <w:lang w:eastAsia="en-US"/>
    </w:rPr>
  </w:style>
  <w:style w:type="paragraph" w:customStyle="1" w:styleId="72">
    <w:name w:val="3GPP_Header"/>
    <w:basedOn w:val="1"/>
    <w:qFormat/>
    <w:uiPriority w:val="0"/>
    <w:pPr>
      <w:tabs>
        <w:tab w:val="left" w:pos="1701"/>
        <w:tab w:val="right" w:pos="9639"/>
      </w:tabs>
      <w:spacing w:after="240"/>
    </w:pPr>
    <w:rPr>
      <w:b/>
      <w:sz w:val="24"/>
    </w:rPr>
  </w:style>
  <w:style w:type="paragraph" w:customStyle="1" w:styleId="73">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US" w:eastAsia="en-US" w:bidi="ar-SA"/>
    </w:rPr>
  </w:style>
  <w:style w:type="paragraph" w:customStyle="1" w:styleId="75">
    <w:name w:val="TAC"/>
    <w:basedOn w:val="59"/>
    <w:qFormat/>
    <w:uiPriority w:val="0"/>
    <w:pPr>
      <w:jc w:val="center"/>
    </w:pPr>
  </w:style>
  <w:style w:type="paragraph" w:customStyle="1" w:styleId="76">
    <w:name w:val="Proposal"/>
    <w:basedOn w:val="1"/>
    <w:qFormat/>
    <w:uiPriority w:val="0"/>
    <w:pPr>
      <w:numPr>
        <w:ilvl w:val="0"/>
        <w:numId w:val="8"/>
      </w:numPr>
      <w:tabs>
        <w:tab w:val="left" w:pos="1701"/>
      </w:tabs>
    </w:pPr>
    <w:rPr>
      <w:b/>
      <w:bCs/>
    </w:rPr>
  </w:style>
  <w:style w:type="paragraph" w:customStyle="1" w:styleId="77">
    <w:name w:val="TAH"/>
    <w:basedOn w:val="75"/>
    <w:qFormat/>
    <w:uiPriority w:val="0"/>
    <w:rPr>
      <w:b/>
    </w:rPr>
  </w:style>
  <w:style w:type="paragraph" w:customStyle="1" w:styleId="78">
    <w:name w:val="TAR"/>
    <w:basedOn w:val="59"/>
    <w:qFormat/>
    <w:uiPriority w:val="0"/>
    <w:pPr>
      <w:jc w:val="right"/>
    </w:pPr>
  </w:style>
  <w:style w:type="paragraph" w:customStyle="1" w:styleId="79">
    <w:name w:val="TH"/>
    <w:basedOn w:val="1"/>
    <w:qFormat/>
    <w:uiPriority w:val="0"/>
    <w:pPr>
      <w:keepNext/>
      <w:keepLines/>
      <w:spacing w:before="60" w:after="180"/>
      <w:jc w:val="center"/>
    </w:pPr>
    <w:rPr>
      <w:b/>
      <w:lang w:eastAsia="en-US"/>
    </w:rPr>
  </w:style>
  <w:style w:type="paragraph" w:customStyle="1" w:styleId="80">
    <w:name w:val="TF"/>
    <w:basedOn w:val="79"/>
    <w:qFormat/>
    <w:uiPriority w:val="0"/>
    <w:pPr>
      <w:keepNext w:val="0"/>
      <w:spacing w:before="0" w:after="240"/>
    </w:pPr>
  </w:style>
  <w:style w:type="paragraph" w:customStyle="1" w:styleId="81">
    <w:name w:val="TT"/>
    <w:basedOn w:val="2"/>
    <w:next w:val="1"/>
    <w:qFormat/>
    <w:uiPriority w:val="0"/>
    <w:pPr>
      <w:numPr>
        <w:ilvl w:val="0"/>
        <w:numId w:val="0"/>
      </w:numPr>
      <w:ind w:left="1134" w:hanging="1134"/>
      <w:outlineLvl w:val="9"/>
    </w:pPr>
    <w:rPr>
      <w:rFonts w:cs="Times New Roman"/>
      <w:szCs w:val="20"/>
      <w:lang w:eastAsia="en-US"/>
    </w:rPr>
  </w:style>
  <w:style w:type="paragraph" w:customStyle="1" w:styleId="8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US" w:eastAsia="en-US" w:bidi="ar-SA"/>
    </w:rPr>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US" w:eastAsia="en-US" w:bidi="ar-SA"/>
    </w:rPr>
  </w:style>
  <w:style w:type="paragraph" w:customStyle="1" w:styleId="8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US" w:eastAsia="en-US" w:bidi="ar-SA"/>
    </w:rPr>
  </w:style>
  <w:style w:type="paragraph" w:customStyle="1" w:styleId="8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en-US" w:bidi="ar-SA"/>
    </w:rPr>
  </w:style>
  <w:style w:type="paragraph" w:customStyle="1" w:styleId="8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US" w:eastAsia="en-US" w:bidi="ar-SA"/>
    </w:rPr>
  </w:style>
  <w:style w:type="paragraph" w:customStyle="1" w:styleId="87">
    <w:name w:val="ZV"/>
    <w:basedOn w:val="86"/>
    <w:qFormat/>
    <w:uiPriority w:val="0"/>
    <w:pPr>
      <w:framePr w:y="16161"/>
    </w:pPr>
  </w:style>
  <w:style w:type="paragraph" w:customStyle="1" w:styleId="88">
    <w:name w:val="Observation"/>
    <w:basedOn w:val="76"/>
    <w:qFormat/>
    <w:uiPriority w:val="0"/>
    <w:pPr>
      <w:numPr>
        <w:ilvl w:val="0"/>
        <w:numId w:val="9"/>
      </w:numPr>
    </w:pPr>
  </w:style>
  <w:style w:type="paragraph" w:styleId="89">
    <w:name w:val="List Paragraph"/>
    <w:basedOn w:val="1"/>
    <w:qFormat/>
    <w:uiPriority w:val="34"/>
    <w:pPr>
      <w:overflowPunct/>
      <w:autoSpaceDE/>
      <w:autoSpaceDN/>
      <w:adjustRightInd/>
      <w:spacing w:after="0"/>
      <w:ind w:left="720"/>
      <w:jc w:val="left"/>
      <w:textAlignment w:val="auto"/>
    </w:pPr>
    <w:rPr>
      <w:rFonts w:ascii="Calibri" w:hAnsi="Calibri" w:eastAsia="Calibri" w:cs="Calibri"/>
      <w:sz w:val="22"/>
      <w:szCs w:val="22"/>
      <w:lang w:val="en-US" w:eastAsia="en-US"/>
    </w:rPr>
  </w:style>
  <w:style w:type="paragraph" w:styleId="90">
    <w:name w:val="Intense Quote"/>
    <w:basedOn w:val="1"/>
    <w:next w:val="1"/>
    <w:link w:val="102"/>
    <w:qFormat/>
    <w:uiPriority w:val="30"/>
    <w:pPr>
      <w:pBdr>
        <w:top w:val="single" w:color="4472C4" w:sz="4" w:space="10"/>
        <w:bottom w:val="single" w:color="4472C4" w:sz="4" w:space="10"/>
      </w:pBdr>
      <w:overflowPunct/>
      <w:autoSpaceDE/>
      <w:autoSpaceDN/>
      <w:adjustRightInd/>
      <w:spacing w:before="360" w:after="360"/>
      <w:ind w:left="864" w:right="864"/>
      <w:jc w:val="center"/>
      <w:textAlignment w:val="auto"/>
    </w:pPr>
    <w:rPr>
      <w:rFonts w:ascii="Times New Roman" w:hAnsi="Times New Roman" w:cs="Times New Roman"/>
      <w:i/>
      <w:iCs/>
      <w:color w:val="4472C4"/>
      <w:lang w:eastAsia="en-US"/>
    </w:rPr>
  </w:style>
  <w:style w:type="character" w:customStyle="1" w:styleId="91">
    <w:name w:val="Doc-text2 Char"/>
    <w:link w:val="55"/>
    <w:qFormat/>
    <w:uiPriority w:val="0"/>
    <w:rPr>
      <w:rFonts w:ascii="Arial" w:hAnsi="Arial" w:eastAsia="MS Mincho"/>
      <w:szCs w:val="24"/>
      <w:lang w:val="en-GB" w:eastAsia="en-GB"/>
    </w:rPr>
  </w:style>
  <w:style w:type="character" w:customStyle="1" w:styleId="92">
    <w:name w:val="B1 Char"/>
    <w:link w:val="70"/>
    <w:qFormat/>
    <w:uiPriority w:val="0"/>
    <w:rPr>
      <w:rFonts w:ascii="Arial" w:hAnsi="Arial"/>
      <w:lang w:val="en-GB" w:eastAsia="en-US"/>
    </w:rPr>
  </w:style>
  <w:style w:type="character" w:customStyle="1" w:styleId="93">
    <w:name w:val="ZGSM"/>
    <w:qFormat/>
    <w:uiPriority w:val="0"/>
  </w:style>
  <w:style w:type="character" w:customStyle="1" w:styleId="94">
    <w:name w:val="B2 Char"/>
    <w:link w:val="68"/>
    <w:qFormat/>
    <w:uiPriority w:val="0"/>
    <w:rPr>
      <w:rFonts w:ascii="Arial" w:hAnsi="Arial"/>
      <w:lang w:val="en-GB" w:eastAsia="en-US"/>
    </w:rPr>
  </w:style>
  <w:style w:type="character" w:customStyle="1" w:styleId="95">
    <w:name w:val="PL Char"/>
    <w:link w:val="73"/>
    <w:qFormat/>
    <w:uiPriority w:val="0"/>
    <w:rPr>
      <w:rFonts w:ascii="Courier New" w:hAnsi="Courier New" w:eastAsia="Times New Roman"/>
      <w:sz w:val="16"/>
      <w:lang w:val="en-US" w:eastAsia="zh-CN" w:bidi="ar-SA"/>
    </w:rPr>
  </w:style>
  <w:style w:type="character" w:customStyle="1" w:styleId="96">
    <w:name w:val="Doc-title Char"/>
    <w:link w:val="65"/>
    <w:qFormat/>
    <w:locked/>
    <w:uiPriority w:val="0"/>
    <w:rPr>
      <w:rFonts w:ascii="Arial" w:hAnsi="Arial" w:eastAsia="MS Mincho" w:cs="Arial"/>
      <w:szCs w:val="24"/>
      <w:lang w:val="en-GB" w:eastAsia="en-GB"/>
    </w:rPr>
  </w:style>
  <w:style w:type="character" w:customStyle="1" w:styleId="97">
    <w:name w:val="st"/>
    <w:qFormat/>
    <w:uiPriority w:val="0"/>
  </w:style>
  <w:style w:type="character" w:customStyle="1" w:styleId="98">
    <w:name w:val="正文文本 Char"/>
    <w:link w:val="27"/>
    <w:qFormat/>
    <w:uiPriority w:val="0"/>
    <w:rPr>
      <w:rFonts w:ascii="Arial" w:hAnsi="Arial"/>
      <w:lang w:val="en-GB"/>
    </w:rPr>
  </w:style>
  <w:style w:type="character" w:customStyle="1" w:styleId="99">
    <w:name w:val="标题 1 Char"/>
    <w:link w:val="2"/>
    <w:qFormat/>
    <w:uiPriority w:val="0"/>
    <w:rPr>
      <w:rFonts w:ascii="Arial" w:hAnsi="Arial" w:cs="Times New Roman"/>
      <w:sz w:val="36"/>
      <w:szCs w:val="36"/>
      <w:lang w:val="en-GB" w:eastAsia="ko-KR"/>
    </w:rPr>
  </w:style>
  <w:style w:type="character" w:customStyle="1" w:styleId="100">
    <w:name w:val="NO Char"/>
    <w:link w:val="64"/>
    <w:qFormat/>
    <w:uiPriority w:val="0"/>
    <w:rPr>
      <w:rFonts w:ascii="Times New Roman" w:hAnsi="Times New Roman" w:eastAsia="Times New Roman"/>
    </w:rPr>
  </w:style>
  <w:style w:type="character" w:customStyle="1" w:styleId="101">
    <w:name w:val="Editor's Note Char Char"/>
    <w:link w:val="71"/>
    <w:qFormat/>
    <w:uiPriority w:val="0"/>
    <w:rPr>
      <w:rFonts w:ascii="Arial" w:hAnsi="Arial"/>
      <w:color w:val="FF0000"/>
      <w:lang w:val="en-GB" w:eastAsia="en-US"/>
    </w:rPr>
  </w:style>
  <w:style w:type="character" w:customStyle="1" w:styleId="102">
    <w:name w:val="明显引用 Char"/>
    <w:link w:val="90"/>
    <w:qFormat/>
    <w:uiPriority w:val="30"/>
    <w:rPr>
      <w:rFonts w:ascii="Times New Roman" w:hAnsi="Times New Roman" w:cs="Times New Roman"/>
      <w:i/>
      <w:iCs/>
      <w:color w:val="4472C4"/>
      <w:lang w:val="en-GB" w:eastAsia="en-US"/>
    </w:rPr>
  </w:style>
  <w:style w:type="paragraph" w:customStyle="1" w:styleId="103">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OPPO1.dotx</Template>
  <Pages>4</Pages>
  <Words>2226</Words>
  <Characters>11632</Characters>
  <Lines>142</Lines>
  <Paragraphs>39</Paragraphs>
  <TotalTime>11</TotalTime>
  <ScaleCrop>false</ScaleCrop>
  <LinksUpToDate>false</LinksUpToDate>
  <CharactersWithSpaces>13805</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2019-05-15T23:25:00Z</dcterms:created>
  <dc:creator>ZTE</dc:creator>
  <cp:lastModifiedBy>ZTE</cp:lastModifiedBy>
  <cp:lastPrinted>2018-05-04T16:26:00Z</cp:lastPrinted>
  <dcterms:modified xsi:type="dcterms:W3CDTF">2019-11-08T04:10:51Z</dcterms:modified>
  <dc:title>ZTE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2016-02-18T07:00:00Z</vt:filetime>
  </property>
  <property fmtid="{D5CDD505-2E9C-101B-9397-08002B2CF9AE}" pid="3" name="_NewReviewCycle">
    <vt:lpwstr/>
  </property>
  <property fmtid="{D5CDD505-2E9C-101B-9397-08002B2CF9AE}" pid="4" name="TitusGUID">
    <vt:lpwstr>0d719d17-003e-4e00-8464-cab21cf7c8c8</vt:lpwstr>
  </property>
  <property fmtid="{D5CDD505-2E9C-101B-9397-08002B2CF9AE}" pid="5" name="CTP_TimeStamp">
    <vt:lpwstr>2019-05-15 19:11:48Z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KSOProductBuildVer">
    <vt:lpwstr>2052-11.8.2.8361</vt:lpwstr>
  </property>
  <property fmtid="{D5CDD505-2E9C-101B-9397-08002B2CF9AE}" pid="10" name="_2015_ms_pID_725343">
    <vt:lpwstr>(3)2nM8IpdVJk8lpD5+r+j8hW9cJU0w9bJGp69RotHxZ6b1TZRDTRg3C+nq8O2T7gDaYcrtMHuQ
kjpkIpIt0XMRaoCcuKPbb8ByafEqm3N7qLy13Xji7wfau01PhIEomzi60JkdN/V+kuLHcSy8
5HndzIAg73EkeTMGKfFGB4s+nBI2m69A5w2IfbAQ+lZKCsCC5nIOI92o9jg9a/fCodgz46fx
QZvI6PJojItkcF+Wuo</vt:lpwstr>
  </property>
  <property fmtid="{D5CDD505-2E9C-101B-9397-08002B2CF9AE}" pid="11" name="_2015_ms_pID_7253431">
    <vt:lpwstr>FJVaQms6Y0SPf2geT9LcZpKclY2VO+mJ91fkrbO9DW87/0JXUlXI4h
m6kGqp73RWx5D6M6P+S0xBpumzP+QyAqMwPc6Q1Wi9hV8NKYh7OXg4/8K5eOjozXTgtc0IdS
D9RvUnvanWEwTcU/UoYaHEddmWBYHX2RxAC2qYw7mgEy7IXVTWzwUeSN1lOIWy00UaxAQaor
KSVO6axE0TD9yQ/swDxVasdMrvL0f/omPxpR</vt:lpwstr>
  </property>
  <property fmtid="{D5CDD505-2E9C-101B-9397-08002B2CF9AE}" pid="12" name="NSCPROP_SA">
    <vt:lpwstr>D:\V2X\18-2월\당사\R2-171xxxx - Summary of 100#42eV2X Radio resource pool sharing_Phase-2_Potevio-QC_Huawei_LG_Lenovo_CATT_ZTE_E_Intel_Fraunhofer_N.doc</vt:lpwstr>
  </property>
  <property fmtid="{D5CDD505-2E9C-101B-9397-08002B2CF9AE}" pid="13" name="_2015_ms_pID_7253432">
    <vt:lpwstr>DXhuzxoiBiWl5qIu7C3ZiAM=</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1557932222</vt:lpwstr>
  </property>
  <property fmtid="{D5CDD505-2E9C-101B-9397-08002B2CF9AE}" pid="18" name="CTPClassification">
    <vt:lpwstr>CTP_NT</vt:lpwstr>
  </property>
</Properties>
</file>